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2F9E" w:rsidRDefault="00402F9E">
      <w:pPr>
        <w:widowControl w:val="0"/>
        <w:autoSpaceDE w:val="0"/>
        <w:autoSpaceDN w:val="0"/>
        <w:adjustRightInd w:val="0"/>
        <w:spacing w:line="312" w:lineRule="auto"/>
        <w:rPr>
          <w:rFonts w:ascii="Arial" w:hAnsi="Arial" w:cs="Arial"/>
          <w:b/>
          <w:bCs/>
        </w:rPr>
      </w:pPr>
      <w:bookmarkStart w:id="0" w:name="_GoBack"/>
      <w:bookmarkEnd w:id="0"/>
      <w:r>
        <w:rPr>
          <w:rFonts w:ascii="Arial" w:hAnsi="Arial" w:cs="Arial"/>
          <w:b/>
          <w:bCs/>
        </w:rPr>
        <w:t>3GPP TSG RAN WG1 Meeting #10</w:t>
      </w:r>
      <w:r>
        <w:rPr>
          <w:rFonts w:ascii="Arial" w:hAnsi="Arial" w:cs="Arial" w:hint="eastAsia"/>
          <w:b/>
          <w:bCs/>
        </w:rPr>
        <w:t xml:space="preserve">2-e       </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ab/>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 xml:space="preserve">  </w:t>
      </w:r>
      <w:r>
        <w:rPr>
          <w:rFonts w:ascii="Arial" w:hAnsi="Arial" w:cs="Arial"/>
          <w:b/>
          <w:bCs/>
          <w:color w:val="000000"/>
        </w:rPr>
        <w:t>R1-2005457</w:t>
      </w:r>
    </w:p>
    <w:p w:rsidR="00402F9E" w:rsidRDefault="00402F9E">
      <w:pPr>
        <w:snapToGrid w:val="0"/>
        <w:spacing w:after="200"/>
        <w:rPr>
          <w:rFonts w:ascii="Arial" w:eastAsia="MS Mincho" w:hAnsi="Arial"/>
          <w:b/>
          <w:lang w:eastAsia="en-US"/>
        </w:rPr>
      </w:pPr>
      <w:r>
        <w:rPr>
          <w:rFonts w:ascii="Arial" w:hAnsi="Arial" w:hint="eastAsia"/>
          <w:b/>
        </w:rPr>
        <w:t>e-Meeting</w:t>
      </w:r>
      <w:r>
        <w:rPr>
          <w:rFonts w:ascii="Arial" w:hAnsi="Arial"/>
          <w:b/>
        </w:rPr>
        <w:t xml:space="preserve">, </w:t>
      </w:r>
      <w:r>
        <w:rPr>
          <w:rFonts w:ascii="Arial" w:hAnsi="Arial" w:hint="eastAsia"/>
          <w:b/>
        </w:rPr>
        <w:t>August</w:t>
      </w:r>
      <w:r>
        <w:rPr>
          <w:rFonts w:ascii="Arial" w:hAnsi="Arial"/>
          <w:b/>
        </w:rPr>
        <w:t xml:space="preserve"> </w:t>
      </w:r>
      <w:r>
        <w:rPr>
          <w:rFonts w:ascii="Arial" w:hAnsi="Arial" w:hint="eastAsia"/>
          <w:b/>
        </w:rPr>
        <w:t>17</w:t>
      </w:r>
      <w:r>
        <w:rPr>
          <w:rFonts w:ascii="Arial" w:hAnsi="Arial"/>
          <w:b/>
          <w:vertAlign w:val="superscript"/>
        </w:rPr>
        <w:t>th</w:t>
      </w:r>
      <w:r>
        <w:rPr>
          <w:rFonts w:ascii="Arial" w:hAnsi="Arial"/>
          <w:b/>
        </w:rPr>
        <w:t xml:space="preserve"> – 28</w:t>
      </w:r>
      <w:r>
        <w:rPr>
          <w:rFonts w:ascii="Arial" w:hAnsi="Arial"/>
          <w:b/>
          <w:vertAlign w:val="superscript"/>
        </w:rPr>
        <w:t>th</w:t>
      </w:r>
      <w:r>
        <w:rPr>
          <w:rFonts w:ascii="Arial" w:hAnsi="Arial"/>
          <w:b/>
        </w:rPr>
        <w:t>, 2020</w:t>
      </w:r>
    </w:p>
    <w:p w:rsidR="00402F9E" w:rsidRDefault="00402F9E">
      <w:pPr>
        <w:snapToGrid w:val="0"/>
        <w:rPr>
          <w:rFonts w:ascii="Arial" w:eastAsia="MS Mincho" w:hAnsi="Arial" w:hint="eastAsia"/>
          <w:b/>
          <w:lang w:eastAsia="ja-JP"/>
        </w:rPr>
      </w:pPr>
      <w:r>
        <w:rPr>
          <w:rFonts w:ascii="Arial" w:eastAsia="MS Mincho" w:hAnsi="Arial" w:hint="eastAsia"/>
          <w:b/>
          <w:lang w:eastAsia="ja-JP"/>
        </w:rPr>
        <w:t>Source:              ZTE</w:t>
      </w:r>
    </w:p>
    <w:p w:rsidR="00402F9E" w:rsidRDefault="00402F9E">
      <w:pPr>
        <w:pStyle w:val="Header"/>
        <w:tabs>
          <w:tab w:val="clear" w:pos="4536"/>
        </w:tabs>
        <w:snapToGrid w:val="0"/>
        <w:ind w:left="1698" w:hangingChars="769" w:hanging="1698"/>
        <w:rPr>
          <w:rFonts w:eastAsia="宋体" w:hint="eastAsia"/>
          <w:sz w:val="22"/>
          <w:szCs w:val="22"/>
          <w:lang w:eastAsia="zh-CN"/>
        </w:rPr>
      </w:pPr>
      <w:r>
        <w:rPr>
          <w:rFonts w:eastAsia="宋体"/>
          <w:sz w:val="22"/>
          <w:szCs w:val="22"/>
          <w:lang w:eastAsia="zh-CN"/>
        </w:rPr>
        <w:t>Title:</w:t>
      </w:r>
      <w:r>
        <w:rPr>
          <w:rFonts w:eastAsia="宋体" w:hint="eastAsia"/>
          <w:sz w:val="22"/>
          <w:szCs w:val="22"/>
          <w:lang w:eastAsia="zh-CN"/>
        </w:rPr>
        <w:t xml:space="preserve">                   </w:t>
      </w:r>
      <w:r>
        <w:rPr>
          <w:rFonts w:eastAsia="宋体"/>
          <w:sz w:val="22"/>
          <w:szCs w:val="22"/>
          <w:lang w:eastAsia="zh-CN"/>
        </w:rPr>
        <w:t>Enhancements on beam management for multi-TRP</w:t>
      </w:r>
    </w:p>
    <w:p w:rsidR="00402F9E" w:rsidRDefault="00402F9E">
      <w:pPr>
        <w:pStyle w:val="Header"/>
        <w:tabs>
          <w:tab w:val="clear" w:pos="4536"/>
        </w:tabs>
        <w:snapToGrid w:val="0"/>
        <w:rPr>
          <w:rFonts w:eastAsia="宋体"/>
          <w:sz w:val="22"/>
          <w:szCs w:val="22"/>
          <w:lang w:eastAsia="zh-CN"/>
        </w:rPr>
      </w:pPr>
      <w:r>
        <w:rPr>
          <w:rFonts w:eastAsia="宋体"/>
          <w:sz w:val="22"/>
          <w:szCs w:val="22"/>
          <w:lang w:eastAsia="zh-CN"/>
        </w:rPr>
        <w:t>Agenda Item:</w:t>
      </w:r>
      <w:bookmarkStart w:id="1" w:name="Source"/>
      <w:bookmarkEnd w:id="1"/>
      <w:r>
        <w:rPr>
          <w:rFonts w:eastAsia="宋体" w:hint="eastAsia"/>
          <w:sz w:val="22"/>
          <w:szCs w:val="22"/>
          <w:lang w:eastAsia="zh-CN"/>
        </w:rPr>
        <w:t xml:space="preserve">     </w:t>
      </w:r>
      <w:r>
        <w:rPr>
          <w:rFonts w:eastAsia="宋体"/>
          <w:sz w:val="22"/>
          <w:szCs w:val="22"/>
          <w:lang w:eastAsia="zh-CN"/>
        </w:rPr>
        <w:t>8.1.2.3</w:t>
      </w:r>
    </w:p>
    <w:p w:rsidR="00402F9E" w:rsidRDefault="00402F9E">
      <w:pPr>
        <w:pStyle w:val="Header"/>
        <w:tabs>
          <w:tab w:val="clear" w:pos="4536"/>
        </w:tabs>
        <w:snapToGrid w:val="0"/>
        <w:spacing w:afterLines="50" w:after="120"/>
        <w:rPr>
          <w:rFonts w:eastAsia="宋体" w:hint="eastAsia"/>
          <w:sz w:val="22"/>
          <w:szCs w:val="22"/>
          <w:lang w:eastAsia="zh-CN"/>
        </w:rPr>
      </w:pPr>
      <w:r>
        <w:rPr>
          <w:rFonts w:eastAsia="宋体"/>
          <w:sz w:val="22"/>
          <w:szCs w:val="22"/>
          <w:lang w:eastAsia="zh-CN"/>
        </w:rPr>
        <w:t>Document for:</w:t>
      </w:r>
      <w:bookmarkStart w:id="2" w:name="DocumentFor"/>
      <w:bookmarkEnd w:id="2"/>
      <w:r>
        <w:rPr>
          <w:rFonts w:eastAsia="宋体" w:hint="eastAsia"/>
          <w:sz w:val="22"/>
          <w:szCs w:val="22"/>
          <w:lang w:eastAsia="zh-CN"/>
        </w:rPr>
        <w:t xml:space="preserve">   </w:t>
      </w:r>
      <w:r>
        <w:rPr>
          <w:rFonts w:eastAsia="宋体"/>
          <w:sz w:val="22"/>
          <w:szCs w:val="22"/>
          <w:lang w:eastAsia="zh-CN"/>
        </w:rPr>
        <w:t>Discussion and Decision</w:t>
      </w:r>
    </w:p>
    <w:p w:rsidR="00402F9E" w:rsidRDefault="00402F9E">
      <w:pPr>
        <w:pBdr>
          <w:bottom w:val="single" w:sz="4" w:space="1" w:color="auto"/>
        </w:pBdr>
        <w:tabs>
          <w:tab w:val="left" w:pos="2552"/>
        </w:tabs>
        <w:snapToGrid w:val="0"/>
        <w:rPr>
          <w:sz w:val="4"/>
          <w:szCs w:val="4"/>
        </w:rPr>
      </w:pPr>
    </w:p>
    <w:p w:rsidR="00402F9E" w:rsidRDefault="00402F9E">
      <w:pPr>
        <w:numPr>
          <w:ilvl w:val="0"/>
          <w:numId w:val="3"/>
        </w:numPr>
        <w:tabs>
          <w:tab w:val="clear" w:pos="432"/>
        </w:tabs>
        <w:snapToGrid w:val="0"/>
        <w:spacing w:before="240" w:afterLines="50" w:after="120"/>
        <w:ind w:left="425" w:hanging="425"/>
        <w:jc w:val="both"/>
        <w:outlineLvl w:val="0"/>
        <w:rPr>
          <w:b/>
          <w:sz w:val="28"/>
          <w:szCs w:val="28"/>
        </w:rPr>
      </w:pPr>
      <w:r>
        <w:rPr>
          <w:b/>
          <w:sz w:val="28"/>
          <w:szCs w:val="28"/>
        </w:rPr>
        <w:t>Introduction</w:t>
      </w:r>
    </w:p>
    <w:p w:rsidR="00402F9E" w:rsidRDefault="00402F9E">
      <w:pPr>
        <w:overflowPunct w:val="0"/>
        <w:autoSpaceDE w:val="0"/>
        <w:autoSpaceDN w:val="0"/>
        <w:adjustRightInd w:val="0"/>
        <w:spacing w:beforeLines="50" w:before="120" w:after="120" w:line="300" w:lineRule="auto"/>
        <w:jc w:val="both"/>
        <w:textAlignment w:val="baseline"/>
        <w:rPr>
          <w:rFonts w:eastAsia="微软雅黑" w:hint="eastAsia"/>
          <w:sz w:val="20"/>
          <w:szCs w:val="20"/>
        </w:rPr>
      </w:pPr>
      <w:r>
        <w:rPr>
          <w:rFonts w:eastAsia="微软雅黑"/>
          <w:sz w:val="20"/>
          <w:szCs w:val="20"/>
        </w:rPr>
        <w:t xml:space="preserve">In </w:t>
      </w:r>
      <w:r>
        <w:rPr>
          <w:rFonts w:eastAsia="微软雅黑" w:hint="eastAsia"/>
          <w:sz w:val="20"/>
          <w:szCs w:val="20"/>
        </w:rPr>
        <w:t>R</w:t>
      </w:r>
      <w:r>
        <w:rPr>
          <w:rFonts w:eastAsia="微软雅黑"/>
          <w:sz w:val="20"/>
          <w:szCs w:val="20"/>
        </w:rPr>
        <w:t>AN</w:t>
      </w:r>
      <w:r>
        <w:rPr>
          <w:rFonts w:eastAsia="微软雅黑" w:hint="eastAsia"/>
          <w:sz w:val="20"/>
          <w:szCs w:val="20"/>
        </w:rPr>
        <w:t>#8</w:t>
      </w:r>
      <w:r>
        <w:rPr>
          <w:rFonts w:eastAsia="微软雅黑"/>
          <w:sz w:val="20"/>
          <w:szCs w:val="20"/>
        </w:rPr>
        <w:t>6</w:t>
      </w:r>
      <w:r>
        <w:rPr>
          <w:rFonts w:eastAsia="微软雅黑" w:hint="eastAsia"/>
          <w:sz w:val="20"/>
          <w:szCs w:val="20"/>
        </w:rPr>
        <w:t xml:space="preserve"> meeting, </w:t>
      </w:r>
      <w:r>
        <w:rPr>
          <w:sz w:val="20"/>
          <w:szCs w:val="20"/>
        </w:rPr>
        <w:t>a</w:t>
      </w:r>
      <w:r>
        <w:rPr>
          <w:rFonts w:hint="eastAsia"/>
          <w:sz w:val="20"/>
          <w:szCs w:val="20"/>
        </w:rPr>
        <w:t xml:space="preserve"> new WID </w:t>
      </w:r>
      <w:r>
        <w:rPr>
          <w:sz w:val="20"/>
          <w:szCs w:val="20"/>
        </w:rPr>
        <w:t xml:space="preserve">for enhancement of NR-MIMO </w:t>
      </w:r>
      <w:r>
        <w:rPr>
          <w:rFonts w:hint="eastAsia"/>
          <w:sz w:val="20"/>
          <w:szCs w:val="20"/>
        </w:rPr>
        <w:t>was</w:t>
      </w:r>
      <w:r>
        <w:rPr>
          <w:sz w:val="20"/>
          <w:szCs w:val="20"/>
        </w:rPr>
        <w:t xml:space="preserve"> approv</w:t>
      </w:r>
      <w:r>
        <w:rPr>
          <w:rFonts w:hint="eastAsia"/>
          <w:sz w:val="20"/>
          <w:szCs w:val="20"/>
        </w:rPr>
        <w:t>ed</w:t>
      </w:r>
      <w:r>
        <w:rPr>
          <w:sz w:val="20"/>
          <w:szCs w:val="20"/>
        </w:rPr>
        <w:t xml:space="preserve"> for Rel-17</w:t>
      </w:r>
      <w:r>
        <w:rPr>
          <w:rFonts w:eastAsia="微软雅黑" w:hint="eastAsia"/>
          <w:sz w:val="20"/>
          <w:szCs w:val="20"/>
        </w:rPr>
        <w:t xml:space="preserve">. </w:t>
      </w:r>
      <w:r>
        <w:rPr>
          <w:rFonts w:eastAsia="微软雅黑"/>
          <w:color w:val="000000"/>
          <w:sz w:val="20"/>
          <w:szCs w:val="20"/>
        </w:rPr>
        <w:t xml:space="preserve">In the WID [1], the objective of enhancing multi-TRP operation </w:t>
      </w:r>
      <w:r>
        <w:rPr>
          <w:rFonts w:eastAsia="微软雅黑" w:hint="eastAsia"/>
          <w:color w:val="000000"/>
          <w:sz w:val="20"/>
          <w:szCs w:val="20"/>
        </w:rPr>
        <w:t>has been</w:t>
      </w:r>
      <w:r>
        <w:rPr>
          <w:rFonts w:eastAsia="微软雅黑"/>
          <w:color w:val="000000"/>
          <w:sz w:val="20"/>
          <w:szCs w:val="20"/>
        </w:rPr>
        <w:t xml:space="preserve"> listed</w:t>
      </w:r>
      <w:r>
        <w:rPr>
          <w:rFonts w:eastAsia="微软雅黑"/>
          <w:sz w:val="20"/>
          <w:szCs w:val="20"/>
        </w:rPr>
        <w:t xml:space="preserve"> as follows:</w:t>
      </w:r>
    </w:p>
    <w:p w:rsidR="00402F9E" w:rsidRDefault="00402F9E">
      <w:pPr>
        <w:pStyle w:val="ListParagraph"/>
        <w:numPr>
          <w:ilvl w:val="0"/>
          <w:numId w:val="6"/>
        </w:numPr>
        <w:spacing w:after="0"/>
        <w:ind w:left="720"/>
        <w:jc w:val="both"/>
        <w:rPr>
          <w:vanish/>
        </w:rPr>
      </w:pPr>
    </w:p>
    <w:p w:rsidR="00402F9E" w:rsidRDefault="00402F9E">
      <w:pPr>
        <w:pStyle w:val="ListParagraph"/>
        <w:numPr>
          <w:ilvl w:val="0"/>
          <w:numId w:val="6"/>
        </w:numPr>
        <w:spacing w:after="0" w:line="300" w:lineRule="auto"/>
        <w:ind w:left="720"/>
        <w:jc w:val="both"/>
      </w:pPr>
      <w:r>
        <w:t>Enhancement on the support for multi-TRP deployment, targeting both FR1 and FR2:</w:t>
      </w:r>
    </w:p>
    <w:p w:rsidR="00402F9E" w:rsidRDefault="00402F9E">
      <w:pPr>
        <w:pStyle w:val="ListParagraph"/>
        <w:numPr>
          <w:ilvl w:val="1"/>
          <w:numId w:val="6"/>
        </w:numPr>
        <w:spacing w:after="0" w:line="300" w:lineRule="auto"/>
        <w:ind w:left="1440"/>
        <w:jc w:val="both"/>
      </w:pPr>
      <w:r>
        <w:t xml:space="preserve">Identify and specify features to improve reliability and robustness for channels other than PDSCH (that is, PDCCH, PUSCH, and PUCCH) using multi-TRP and/or multi-panel, with Rel.16 reliability features as the baseline </w:t>
      </w:r>
    </w:p>
    <w:p w:rsidR="00402F9E" w:rsidRDefault="00402F9E">
      <w:pPr>
        <w:pStyle w:val="ListParagraph"/>
        <w:numPr>
          <w:ilvl w:val="1"/>
          <w:numId w:val="6"/>
        </w:numPr>
        <w:spacing w:after="0" w:line="300" w:lineRule="auto"/>
        <w:ind w:left="1440"/>
        <w:jc w:val="both"/>
      </w:pPr>
      <w:r>
        <w:t>Identify and specify QCL/TCI-related enhancements to enable inter-cell multi-TRP operations, assuming multi-DCI based multi-PDSCH reception</w:t>
      </w:r>
    </w:p>
    <w:p w:rsidR="00402F9E" w:rsidRDefault="00402F9E">
      <w:pPr>
        <w:pStyle w:val="ListParagraph"/>
        <w:numPr>
          <w:ilvl w:val="1"/>
          <w:numId w:val="6"/>
        </w:numPr>
        <w:spacing w:after="0" w:line="300" w:lineRule="auto"/>
        <w:ind w:left="1440"/>
        <w:jc w:val="both"/>
      </w:pPr>
      <w:r>
        <w:t>Evaluate and, if needed, specify beam-management-related enhancements for simultaneous multi-TRP transmission with multi-panel reception</w:t>
      </w:r>
    </w:p>
    <w:p w:rsidR="00402F9E" w:rsidRDefault="00402F9E">
      <w:pPr>
        <w:pStyle w:val="ListParagraph"/>
        <w:numPr>
          <w:ilvl w:val="1"/>
          <w:numId w:val="6"/>
        </w:numPr>
        <w:spacing w:after="0" w:line="300" w:lineRule="auto"/>
        <w:ind w:left="1440"/>
        <w:jc w:val="both"/>
      </w:pPr>
      <w:r>
        <w:t>Enhancement to support HST-SFN deployment scenario:</w:t>
      </w:r>
    </w:p>
    <w:p w:rsidR="00402F9E" w:rsidRDefault="00402F9E">
      <w:pPr>
        <w:pStyle w:val="ListParagraph"/>
        <w:numPr>
          <w:ilvl w:val="2"/>
          <w:numId w:val="6"/>
        </w:numPr>
        <w:spacing w:after="0" w:line="300" w:lineRule="auto"/>
        <w:ind w:left="2160"/>
        <w:jc w:val="both"/>
      </w:pPr>
      <w:r>
        <w:t>Identify and specify solution(s) on QCL assumption for DMRS, e.g. multiple QCL assumptions for the same DMRS port(s), targeting DL-only transmission</w:t>
      </w:r>
    </w:p>
    <w:p w:rsidR="00402F9E" w:rsidRDefault="00402F9E">
      <w:pPr>
        <w:pStyle w:val="ListParagraph"/>
        <w:numPr>
          <w:ilvl w:val="2"/>
          <w:numId w:val="6"/>
        </w:numPr>
        <w:spacing w:after="0" w:line="300" w:lineRule="auto"/>
        <w:ind w:left="2160"/>
        <w:jc w:val="both"/>
      </w:pPr>
      <w:r>
        <w:t>Evaluate and, if the benefit over Rel.16 HST enhancement baseline is demonstrated, specify QCL/QCL-like relation (including applicable type(s) and the associated requirement) between DL and UL signal by reusing the unified TCI framework</w:t>
      </w:r>
    </w:p>
    <w:p w:rsidR="00402F9E" w:rsidRDefault="00402F9E">
      <w:pPr>
        <w:overflowPunct w:val="0"/>
        <w:autoSpaceDE w:val="0"/>
        <w:autoSpaceDN w:val="0"/>
        <w:adjustRightInd w:val="0"/>
        <w:spacing w:beforeLines="50" w:before="120" w:after="120" w:line="300" w:lineRule="auto"/>
        <w:jc w:val="both"/>
        <w:textAlignment w:val="baseline"/>
        <w:rPr>
          <w:rFonts w:eastAsia="微软雅黑"/>
          <w:sz w:val="20"/>
          <w:szCs w:val="20"/>
        </w:rPr>
      </w:pPr>
      <w:r>
        <w:rPr>
          <w:rFonts w:eastAsia="微软雅黑"/>
          <w:sz w:val="20"/>
          <w:szCs w:val="20"/>
        </w:rPr>
        <w:t>In this contribution, some potential enhancements on “2c</w:t>
      </w:r>
      <w:r>
        <w:rPr>
          <w:rFonts w:eastAsia="微软雅黑" w:hint="eastAsia"/>
          <w:sz w:val="20"/>
          <w:szCs w:val="20"/>
        </w:rPr>
        <w:t>.</w:t>
      </w:r>
      <w:r>
        <w:rPr>
          <w:rFonts w:eastAsia="微软雅黑"/>
          <w:sz w:val="20"/>
          <w:szCs w:val="20"/>
        </w:rPr>
        <w:t xml:space="preserve"> beam management for multi-TRP operation” including </w:t>
      </w:r>
      <w:r>
        <w:rPr>
          <w:sz w:val="20"/>
          <w:szCs w:val="20"/>
        </w:rPr>
        <w:t xml:space="preserve">multi-panel/TRP based beam </w:t>
      </w:r>
      <w:r>
        <w:rPr>
          <w:rFonts w:eastAsia="微软雅黑"/>
          <w:sz w:val="20"/>
          <w:szCs w:val="20"/>
          <w:lang w:val="en-GB"/>
        </w:rPr>
        <w:t>measurement</w:t>
      </w:r>
      <w:r>
        <w:rPr>
          <w:sz w:val="20"/>
          <w:szCs w:val="20"/>
        </w:rPr>
        <w:t xml:space="preserve">, group based beam reporting, antenna group/panel indication for DL transmission, and simultaneous transmission of different DL channel(s) and RS(s) </w:t>
      </w:r>
      <w:r>
        <w:rPr>
          <w:rFonts w:eastAsia="微软雅黑"/>
          <w:sz w:val="20"/>
          <w:szCs w:val="20"/>
        </w:rPr>
        <w:t>are discussed for NR Rel-17.</w:t>
      </w:r>
    </w:p>
    <w:p w:rsidR="00402F9E" w:rsidRDefault="00402F9E">
      <w:pPr>
        <w:numPr>
          <w:ilvl w:val="0"/>
          <w:numId w:val="3"/>
        </w:numPr>
        <w:tabs>
          <w:tab w:val="clear" w:pos="432"/>
        </w:tabs>
        <w:snapToGrid w:val="0"/>
        <w:spacing w:before="240" w:afterLines="50" w:after="120"/>
        <w:ind w:left="425" w:hanging="425"/>
        <w:jc w:val="both"/>
        <w:outlineLvl w:val="0"/>
        <w:rPr>
          <w:b/>
          <w:sz w:val="28"/>
          <w:szCs w:val="28"/>
        </w:rPr>
      </w:pPr>
      <w:r>
        <w:rPr>
          <w:b/>
          <w:sz w:val="28"/>
          <w:szCs w:val="28"/>
        </w:rPr>
        <w:t>Enhancement(s) on DL beam measurement and reporting</w:t>
      </w:r>
    </w:p>
    <w:p w:rsidR="00402F9E" w:rsidRDefault="00402F9E">
      <w:pPr>
        <w:overflowPunct w:val="0"/>
        <w:autoSpaceDE w:val="0"/>
        <w:autoSpaceDN w:val="0"/>
        <w:adjustRightInd w:val="0"/>
        <w:spacing w:beforeLines="50" w:before="120" w:after="120" w:line="300" w:lineRule="auto"/>
        <w:jc w:val="both"/>
        <w:textAlignment w:val="baseline"/>
        <w:rPr>
          <w:rFonts w:eastAsia="微软雅黑"/>
          <w:sz w:val="20"/>
          <w:szCs w:val="20"/>
          <w:lang w:val="en-GB"/>
        </w:rPr>
      </w:pPr>
      <w:r>
        <w:rPr>
          <w:rFonts w:eastAsia="微软雅黑"/>
          <w:sz w:val="20"/>
          <w:szCs w:val="20"/>
          <w:lang w:val="en-GB"/>
        </w:rPr>
        <w:t>In this subsection, some potential enhancements including multi-panel/TRP based beam measurement, group based beam reporting are discussed for NR Rel-17.</w:t>
      </w:r>
    </w:p>
    <w:p w:rsidR="00402F9E" w:rsidRDefault="00402F9E">
      <w:pPr>
        <w:numPr>
          <w:ilvl w:val="1"/>
          <w:numId w:val="3"/>
        </w:numPr>
        <w:tabs>
          <w:tab w:val="clear" w:pos="576"/>
        </w:tabs>
        <w:snapToGrid w:val="0"/>
        <w:spacing w:before="240" w:afterLines="50" w:after="120"/>
        <w:ind w:left="567" w:hanging="567"/>
        <w:jc w:val="both"/>
        <w:outlineLvl w:val="1"/>
        <w:rPr>
          <w:b/>
          <w:sz w:val="28"/>
          <w:szCs w:val="20"/>
        </w:rPr>
      </w:pPr>
      <w:r>
        <w:rPr>
          <w:b/>
          <w:sz w:val="28"/>
          <w:szCs w:val="20"/>
        </w:rPr>
        <w:t>Multi-beam measurement in multi-panel/TRP case</w:t>
      </w:r>
    </w:p>
    <w:p w:rsidR="00402F9E" w:rsidRDefault="00402F9E">
      <w:pPr>
        <w:overflowPunct w:val="0"/>
        <w:autoSpaceDE w:val="0"/>
        <w:autoSpaceDN w:val="0"/>
        <w:adjustRightInd w:val="0"/>
        <w:spacing w:beforeLines="50" w:before="120" w:after="120" w:line="300" w:lineRule="auto"/>
        <w:jc w:val="both"/>
        <w:textAlignment w:val="baseline"/>
        <w:rPr>
          <w:sz w:val="20"/>
          <w:szCs w:val="20"/>
        </w:rPr>
      </w:pPr>
      <w:r>
        <w:rPr>
          <w:rFonts w:hint="eastAsia"/>
          <w:sz w:val="20"/>
          <w:szCs w:val="20"/>
        </w:rPr>
        <w:t>C</w:t>
      </w:r>
      <w:r>
        <w:rPr>
          <w:sz w:val="20"/>
          <w:szCs w:val="20"/>
        </w:rPr>
        <w:t>onsideration on constraints of TRP</w:t>
      </w:r>
      <w:r>
        <w:rPr>
          <w:rFonts w:hint="eastAsia"/>
          <w:sz w:val="20"/>
          <w:szCs w:val="20"/>
        </w:rPr>
        <w:t xml:space="preserve"> antenna </w:t>
      </w:r>
      <w:r>
        <w:rPr>
          <w:sz w:val="20"/>
          <w:szCs w:val="20"/>
        </w:rPr>
        <w:t>panels</w:t>
      </w:r>
      <w:r>
        <w:rPr>
          <w:rFonts w:hint="eastAsia"/>
          <w:sz w:val="20"/>
          <w:szCs w:val="20"/>
        </w:rPr>
        <w:t xml:space="preserve"> should be taken for selecting Tx beam(s)</w:t>
      </w:r>
      <w:r>
        <w:rPr>
          <w:sz w:val="20"/>
          <w:szCs w:val="20"/>
        </w:rPr>
        <w:t xml:space="preserve"> for downlink</w:t>
      </w:r>
      <w:r>
        <w:rPr>
          <w:rFonts w:hint="eastAsia"/>
          <w:sz w:val="20"/>
          <w:szCs w:val="20"/>
        </w:rPr>
        <w:t xml:space="preserve">, like the </w:t>
      </w:r>
      <w:r>
        <w:rPr>
          <w:sz w:val="20"/>
          <w:szCs w:val="20"/>
        </w:rPr>
        <w:t xml:space="preserve">maximum </w:t>
      </w:r>
      <w:r>
        <w:rPr>
          <w:rFonts w:hint="eastAsia"/>
          <w:sz w:val="20"/>
          <w:szCs w:val="20"/>
        </w:rPr>
        <w:t>number of SRS resource set</w:t>
      </w:r>
      <w:r>
        <w:rPr>
          <w:sz w:val="20"/>
          <w:szCs w:val="20"/>
        </w:rPr>
        <w:t>s</w:t>
      </w:r>
      <w:r>
        <w:rPr>
          <w:rFonts w:hint="eastAsia"/>
          <w:sz w:val="20"/>
          <w:szCs w:val="20"/>
        </w:rPr>
        <w:t xml:space="preserve"> that can be configured for UL beam management</w:t>
      </w:r>
      <w:r>
        <w:rPr>
          <w:sz w:val="20"/>
          <w:szCs w:val="20"/>
        </w:rPr>
        <w:t xml:space="preserve"> in NR Rel-15</w:t>
      </w:r>
      <w:r>
        <w:rPr>
          <w:rFonts w:hint="eastAsia"/>
          <w:sz w:val="20"/>
          <w:szCs w:val="20"/>
        </w:rPr>
        <w:t>. F</w:t>
      </w:r>
      <w:r>
        <w:rPr>
          <w:sz w:val="20"/>
          <w:szCs w:val="20"/>
        </w:rPr>
        <w:t>or instance</w:t>
      </w:r>
      <w:r>
        <w:rPr>
          <w:rFonts w:hint="eastAsia"/>
          <w:sz w:val="20"/>
          <w:szCs w:val="20"/>
        </w:rPr>
        <w:t xml:space="preserve">, Tx beams </w:t>
      </w:r>
      <w:r>
        <w:rPr>
          <w:sz w:val="20"/>
          <w:szCs w:val="20"/>
        </w:rPr>
        <w:t>generated from one Tx panel</w:t>
      </w:r>
      <w:r>
        <w:rPr>
          <w:rFonts w:hint="eastAsia"/>
          <w:sz w:val="20"/>
          <w:szCs w:val="20"/>
        </w:rPr>
        <w:t xml:space="preserve"> cannot be transmitted simultaneously</w:t>
      </w:r>
      <w:r>
        <w:rPr>
          <w:sz w:val="20"/>
          <w:szCs w:val="20"/>
        </w:rPr>
        <w:t>. T</w:t>
      </w:r>
      <w:r>
        <w:rPr>
          <w:rFonts w:hint="eastAsia"/>
          <w:sz w:val="20"/>
          <w:szCs w:val="20"/>
        </w:rPr>
        <w:t>herefore</w:t>
      </w:r>
      <w:r>
        <w:rPr>
          <w:sz w:val="20"/>
          <w:szCs w:val="20"/>
        </w:rPr>
        <w:t>,</w:t>
      </w:r>
      <w:r>
        <w:rPr>
          <w:rFonts w:hint="eastAsia"/>
          <w:sz w:val="20"/>
          <w:szCs w:val="20"/>
        </w:rPr>
        <w:t xml:space="preserve"> </w:t>
      </w:r>
      <w:r>
        <w:rPr>
          <w:sz w:val="20"/>
          <w:szCs w:val="20"/>
        </w:rPr>
        <w:t>enhanced signaling or configuration would allow gNB</w:t>
      </w:r>
      <w:r>
        <w:rPr>
          <w:rFonts w:hint="eastAsia"/>
          <w:sz w:val="20"/>
          <w:szCs w:val="20"/>
        </w:rPr>
        <w:t xml:space="preserve"> </w:t>
      </w:r>
      <w:r>
        <w:rPr>
          <w:sz w:val="20"/>
          <w:szCs w:val="20"/>
        </w:rPr>
        <w:t>to</w:t>
      </w:r>
      <w:r>
        <w:rPr>
          <w:rFonts w:hint="eastAsia"/>
          <w:sz w:val="20"/>
          <w:szCs w:val="20"/>
        </w:rPr>
        <w:t xml:space="preserve"> inform </w:t>
      </w:r>
      <w:r>
        <w:rPr>
          <w:sz w:val="20"/>
          <w:szCs w:val="20"/>
        </w:rPr>
        <w:t>this kind of information o</w:t>
      </w:r>
      <w:r>
        <w:rPr>
          <w:rFonts w:hint="eastAsia"/>
          <w:sz w:val="20"/>
          <w:szCs w:val="20"/>
        </w:rPr>
        <w:t>f UE</w:t>
      </w:r>
      <w:r>
        <w:rPr>
          <w:sz w:val="20"/>
          <w:szCs w:val="20"/>
        </w:rPr>
        <w:t xml:space="preserve"> for beam reporting. </w:t>
      </w:r>
    </w:p>
    <w:p w:rsidR="00402F9E" w:rsidRDefault="00402F9E">
      <w:pPr>
        <w:numPr>
          <w:ilvl w:val="0"/>
          <w:numId w:val="7"/>
        </w:numPr>
        <w:spacing w:beforeLines="25" w:before="60" w:afterLines="50" w:after="120" w:line="300" w:lineRule="auto"/>
        <w:ind w:hanging="357"/>
        <w:jc w:val="both"/>
        <w:rPr>
          <w:sz w:val="20"/>
          <w:szCs w:val="20"/>
        </w:rPr>
      </w:pPr>
      <w:r>
        <w:rPr>
          <w:sz w:val="20"/>
          <w:szCs w:val="20"/>
        </w:rPr>
        <w:t xml:space="preserve">For one TRP, there may have more than one TRP panels, but these multiple panels often share the same boresight and similar large-scale channel properties. If beam management is done for each individual panel, the overheads of beam measurement and reporting per Tx panel per TRP is very high and NOT necessary. </w:t>
      </w:r>
    </w:p>
    <w:p w:rsidR="00402F9E" w:rsidRDefault="00402F9E">
      <w:pPr>
        <w:numPr>
          <w:ilvl w:val="0"/>
          <w:numId w:val="7"/>
        </w:numPr>
        <w:spacing w:beforeLines="25" w:before="60" w:afterLines="50" w:after="120" w:line="300" w:lineRule="auto"/>
        <w:ind w:hanging="357"/>
        <w:jc w:val="both"/>
        <w:rPr>
          <w:sz w:val="20"/>
          <w:szCs w:val="20"/>
        </w:rPr>
      </w:pPr>
      <w:r>
        <w:rPr>
          <w:sz w:val="20"/>
          <w:szCs w:val="20"/>
        </w:rPr>
        <w:lastRenderedPageBreak/>
        <w:t xml:space="preserve">Therefore, from beam management perspective, these TRP panels from one same TRP can be represented by one out of these panel, and the beam(s) generated by the selected panel can be virtualized as one group, in which no more than N beams can be simultaneously transmitted, where </w:t>
      </w:r>
      <w:r>
        <w:rPr>
          <w:rFonts w:hint="eastAsia"/>
          <w:sz w:val="20"/>
          <w:szCs w:val="20"/>
        </w:rPr>
        <w:t>N depend</w:t>
      </w:r>
      <w:r>
        <w:rPr>
          <w:sz w:val="20"/>
          <w:szCs w:val="20"/>
        </w:rPr>
        <w:t>s</w:t>
      </w:r>
      <w:r>
        <w:rPr>
          <w:rFonts w:hint="eastAsia"/>
          <w:sz w:val="20"/>
          <w:szCs w:val="20"/>
        </w:rPr>
        <w:t xml:space="preserve"> on gNB capability.</w:t>
      </w:r>
      <w:r>
        <w:rPr>
          <w:sz w:val="20"/>
          <w:szCs w:val="20"/>
        </w:rPr>
        <w:t xml:space="preserve"> Furthermore, in multi-TRP case, gNB can configure multiple groups, respectively, each of which is associated with one TRP.</w:t>
      </w:r>
    </w:p>
    <w:p w:rsidR="00402F9E" w:rsidRDefault="00402F9E">
      <w:pPr>
        <w:overflowPunct w:val="0"/>
        <w:autoSpaceDE w:val="0"/>
        <w:autoSpaceDN w:val="0"/>
        <w:adjustRightInd w:val="0"/>
        <w:spacing w:beforeLines="50" w:before="120" w:after="120" w:line="300" w:lineRule="auto"/>
        <w:jc w:val="both"/>
        <w:textAlignment w:val="baseline"/>
        <w:rPr>
          <w:sz w:val="20"/>
          <w:szCs w:val="20"/>
        </w:rPr>
      </w:pPr>
      <w:r>
        <w:rPr>
          <w:sz w:val="20"/>
          <w:szCs w:val="20"/>
        </w:rPr>
        <w:t>One example for multi-beam measurement in multi-panel</w:t>
      </w:r>
      <w:r>
        <w:rPr>
          <w:rFonts w:hint="eastAsia"/>
          <w:sz w:val="20"/>
          <w:szCs w:val="20"/>
        </w:rPr>
        <w:t>/</w:t>
      </w:r>
      <w:r>
        <w:rPr>
          <w:sz w:val="20"/>
          <w:szCs w:val="20"/>
        </w:rPr>
        <w:t>TRP case can be found in Figure 1, where there are two TRPs that are deployed with 4 panels and 1 panel, respectively. For TRP-1, only one panel is used for generating candidate Tx beam(s) for sweeping, rather than the whole 4 panels.</w:t>
      </w:r>
    </w:p>
    <w:p w:rsidR="00402F9E" w:rsidRDefault="00402F9E">
      <w:pPr>
        <w:spacing w:beforeLines="100" w:before="240" w:after="120" w:line="300" w:lineRule="auto"/>
        <w:jc w:val="both"/>
      </w:pPr>
      <w:r>
        <w:rPr>
          <w:b/>
          <w:i/>
          <w:sz w:val="20"/>
          <w:szCs w:val="20"/>
        </w:rPr>
        <w:t>Observation</w:t>
      </w:r>
      <w:r>
        <w:rPr>
          <w:rFonts w:hint="eastAsia"/>
          <w:b/>
          <w:i/>
          <w:sz w:val="20"/>
          <w:szCs w:val="20"/>
        </w:rPr>
        <w:t xml:space="preserve"> </w:t>
      </w:r>
      <w:r>
        <w:rPr>
          <w:b/>
          <w:i/>
          <w:sz w:val="20"/>
          <w:szCs w:val="20"/>
        </w:rPr>
        <w:t>1</w:t>
      </w:r>
      <w:r>
        <w:rPr>
          <w:rFonts w:hint="eastAsia"/>
          <w:b/>
          <w:i/>
          <w:sz w:val="20"/>
          <w:szCs w:val="20"/>
        </w:rPr>
        <w:t>:</w:t>
      </w:r>
      <w:r>
        <w:t xml:space="preserve"> </w:t>
      </w:r>
      <w:r>
        <w:rPr>
          <w:i/>
          <w:sz w:val="20"/>
          <w:szCs w:val="20"/>
        </w:rPr>
        <w:t>For one TRP, there may have multiple TRP panels sharing the same boresight and similar large scale properties, and consequently beam measurement for one out of the multiple panels (instead of each of the panels) is sufficient for supporting the subsequent CSI acquisition and data transmission.</w:t>
      </w:r>
    </w:p>
    <w:p w:rsidR="00402F9E" w:rsidRDefault="00402F9E">
      <w:pPr>
        <w:numPr>
          <w:ilvl w:val="1"/>
          <w:numId w:val="8"/>
        </w:numPr>
        <w:snapToGrid w:val="0"/>
        <w:spacing w:before="120" w:after="120" w:line="300" w:lineRule="auto"/>
        <w:ind w:left="709" w:hanging="289"/>
        <w:jc w:val="both"/>
        <w:rPr>
          <w:i/>
          <w:sz w:val="20"/>
          <w:szCs w:val="20"/>
        </w:rPr>
      </w:pPr>
      <w:r>
        <w:rPr>
          <w:i/>
          <w:sz w:val="20"/>
          <w:szCs w:val="20"/>
        </w:rPr>
        <w:t>In such case, the overhead of measurement RS and UL reporting can be significantly saved compared with per-panel per-TRP measurement.</w:t>
      </w:r>
    </w:p>
    <w:p w:rsidR="00402F9E" w:rsidRDefault="00CD6054">
      <w:pPr>
        <w:spacing w:beforeLines="100" w:before="240" w:afterLines="50" w:after="120"/>
        <w:jc w:val="center"/>
        <w:rPr>
          <w:sz w:val="20"/>
          <w:szCs w:val="20"/>
        </w:rPr>
      </w:pPr>
      <w:r>
        <w:object w:dxaOrig="9280" w:dyaOrig="6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378.5pt;height:260pt;mso-position-horizontal-relative:page;mso-position-vertical-relative:page" o:ole="">
            <v:imagedata r:id="rId5" o:title=""/>
          </v:shape>
          <o:OLEObject Type="Embed" ProgID="Visio.Drawing.11" ShapeID="对象 1" DrawAspect="Content" ObjectID="_1658348003" r:id="rId6"/>
        </w:object>
      </w:r>
    </w:p>
    <w:p w:rsidR="00402F9E" w:rsidRDefault="00402F9E">
      <w:pPr>
        <w:spacing w:before="120" w:after="120"/>
        <w:jc w:val="center"/>
        <w:rPr>
          <w:rFonts w:hint="eastAsia"/>
          <w:sz w:val="20"/>
          <w:szCs w:val="20"/>
        </w:rPr>
      </w:pPr>
      <w:r>
        <w:rPr>
          <w:sz w:val="20"/>
          <w:szCs w:val="20"/>
        </w:rPr>
        <w:t xml:space="preserve"> </w:t>
      </w:r>
      <w:r>
        <w:rPr>
          <w:b/>
          <w:sz w:val="20"/>
          <w:szCs w:val="20"/>
        </w:rPr>
        <w:t xml:space="preserve">Figure 1 </w:t>
      </w:r>
      <w:r>
        <w:rPr>
          <w:sz w:val="20"/>
          <w:szCs w:val="20"/>
        </w:rPr>
        <w:t>DL multi-beam measurement scenario for multi-TRP transmission with multi-panel reception</w:t>
      </w:r>
    </w:p>
    <w:p w:rsidR="00402F9E" w:rsidRDefault="00402F9E">
      <w:pPr>
        <w:overflowPunct w:val="0"/>
        <w:autoSpaceDE w:val="0"/>
        <w:autoSpaceDN w:val="0"/>
        <w:adjustRightInd w:val="0"/>
        <w:spacing w:beforeLines="50" w:before="120" w:after="120" w:line="300" w:lineRule="auto"/>
        <w:jc w:val="both"/>
        <w:textAlignment w:val="baseline"/>
        <w:rPr>
          <w:rFonts w:hint="eastAsia"/>
          <w:sz w:val="20"/>
          <w:szCs w:val="20"/>
        </w:rPr>
      </w:pPr>
      <w:r>
        <w:rPr>
          <w:sz w:val="20"/>
          <w:szCs w:val="20"/>
        </w:rPr>
        <w:t xml:space="preserve">Consequently, when a UE selects beams for simultaneous receiving </w:t>
      </w:r>
      <w:r>
        <w:rPr>
          <w:rFonts w:hint="eastAsia"/>
          <w:sz w:val="20"/>
          <w:szCs w:val="20"/>
        </w:rPr>
        <w:t xml:space="preserve">in </w:t>
      </w:r>
      <w:r>
        <w:rPr>
          <w:sz w:val="20"/>
          <w:szCs w:val="20"/>
        </w:rPr>
        <w:t xml:space="preserve">group based </w:t>
      </w:r>
      <w:r>
        <w:rPr>
          <w:rFonts w:hint="eastAsia"/>
          <w:sz w:val="20"/>
          <w:szCs w:val="20"/>
        </w:rPr>
        <w:t>beam reporting</w:t>
      </w:r>
      <w:r>
        <w:rPr>
          <w:sz w:val="20"/>
          <w:szCs w:val="20"/>
        </w:rPr>
        <w:t>, the selection</w:t>
      </w:r>
      <w:r>
        <w:rPr>
          <w:rFonts w:hint="eastAsia"/>
          <w:sz w:val="20"/>
          <w:szCs w:val="20"/>
        </w:rPr>
        <w:t xml:space="preserve"> rules</w:t>
      </w:r>
      <w:r>
        <w:rPr>
          <w:sz w:val="20"/>
          <w:szCs w:val="20"/>
        </w:rPr>
        <w:t xml:space="preserve"> should follow the constraint that the number of these beams (to be reported for simultaneous receiving) from one same TRP should satisfy its capability of simultaneous transmission, e.g., no more than N. </w:t>
      </w:r>
    </w:p>
    <w:p w:rsidR="00402F9E" w:rsidRDefault="00402F9E">
      <w:pPr>
        <w:spacing w:beforeLines="100" w:before="240" w:after="120" w:line="300" w:lineRule="auto"/>
        <w:jc w:val="both"/>
        <w:rPr>
          <w:i/>
          <w:sz w:val="20"/>
          <w:szCs w:val="20"/>
        </w:rPr>
      </w:pPr>
      <w:r>
        <w:rPr>
          <w:b/>
          <w:i/>
          <w:sz w:val="20"/>
          <w:szCs w:val="20"/>
        </w:rPr>
        <w:t>Proposal</w:t>
      </w:r>
      <w:r>
        <w:rPr>
          <w:rFonts w:hint="eastAsia"/>
          <w:b/>
          <w:i/>
          <w:sz w:val="20"/>
          <w:szCs w:val="20"/>
        </w:rPr>
        <w:t xml:space="preserve"> </w:t>
      </w:r>
      <w:r>
        <w:rPr>
          <w:b/>
          <w:i/>
          <w:sz w:val="20"/>
          <w:szCs w:val="20"/>
        </w:rPr>
        <w:t>1</w:t>
      </w:r>
      <w:r>
        <w:rPr>
          <w:rFonts w:hint="eastAsia"/>
          <w:b/>
          <w:i/>
          <w:sz w:val="20"/>
          <w:szCs w:val="20"/>
        </w:rPr>
        <w:t>:</w:t>
      </w:r>
      <w:r>
        <w:t xml:space="preserve"> </w:t>
      </w:r>
      <w:r>
        <w:rPr>
          <w:i/>
          <w:sz w:val="20"/>
          <w:szCs w:val="20"/>
        </w:rPr>
        <w:t>Information on simultaneous transmission capability from each of TRP can be indicated for the assist of DL beam determination in UE reporting.</w:t>
      </w:r>
    </w:p>
    <w:p w:rsidR="00402F9E" w:rsidRDefault="00402F9E">
      <w:pPr>
        <w:numPr>
          <w:ilvl w:val="1"/>
          <w:numId w:val="8"/>
        </w:numPr>
        <w:snapToGrid w:val="0"/>
        <w:spacing w:before="120" w:after="120" w:line="300" w:lineRule="auto"/>
        <w:ind w:left="709" w:hanging="289"/>
        <w:jc w:val="both"/>
        <w:rPr>
          <w:rFonts w:hint="eastAsia"/>
          <w:i/>
          <w:sz w:val="20"/>
          <w:szCs w:val="20"/>
        </w:rPr>
      </w:pPr>
      <w:r>
        <w:rPr>
          <w:rFonts w:hint="eastAsia"/>
          <w:i/>
          <w:sz w:val="20"/>
          <w:szCs w:val="20"/>
        </w:rPr>
        <w:t>S</w:t>
      </w:r>
      <w:r>
        <w:rPr>
          <w:i/>
          <w:sz w:val="20"/>
          <w:szCs w:val="20"/>
        </w:rPr>
        <w:t>tudy the configuration of beam measurement and reporting to achieve the indication of TRP related simultaneous transmission capability.</w:t>
      </w:r>
    </w:p>
    <w:p w:rsidR="00402F9E" w:rsidRDefault="00402F9E">
      <w:pPr>
        <w:numPr>
          <w:ilvl w:val="1"/>
          <w:numId w:val="3"/>
        </w:numPr>
        <w:snapToGrid w:val="0"/>
        <w:spacing w:before="240" w:afterLines="50" w:after="120"/>
        <w:jc w:val="both"/>
        <w:outlineLvl w:val="1"/>
        <w:rPr>
          <w:b/>
          <w:sz w:val="28"/>
          <w:szCs w:val="20"/>
        </w:rPr>
      </w:pPr>
      <w:r>
        <w:rPr>
          <w:b/>
          <w:sz w:val="28"/>
          <w:szCs w:val="20"/>
        </w:rPr>
        <w:lastRenderedPageBreak/>
        <w:t>Enhancements on group based beam reporting</w:t>
      </w:r>
    </w:p>
    <w:p w:rsidR="00402F9E" w:rsidRDefault="00402F9E">
      <w:pPr>
        <w:overflowPunct w:val="0"/>
        <w:autoSpaceDE w:val="0"/>
        <w:autoSpaceDN w:val="0"/>
        <w:adjustRightInd w:val="0"/>
        <w:spacing w:beforeLines="50" w:before="120" w:after="120" w:line="300" w:lineRule="auto"/>
        <w:jc w:val="both"/>
        <w:textAlignment w:val="baseline"/>
        <w:rPr>
          <w:rFonts w:eastAsia="微软雅黑"/>
          <w:sz w:val="20"/>
          <w:szCs w:val="20"/>
          <w:lang w:val="en-GB"/>
        </w:rPr>
      </w:pPr>
      <w:r>
        <w:rPr>
          <w:sz w:val="20"/>
          <w:szCs w:val="20"/>
        </w:rPr>
        <w:t xml:space="preserve">Group-based reporting that informs gNB which pairs of multiple beams can be received simultaneously (which implicitly provides the mapping between UE panel and gNB beam) should be regarded as an essential solution for supporting the multi-panel operation of both DL and UL transmission (including DL multi-panel reception and UL fast panel selection). </w:t>
      </w:r>
      <w:r>
        <w:rPr>
          <w:rFonts w:eastAsia="微软雅黑" w:hint="eastAsia"/>
          <w:sz w:val="20"/>
          <w:szCs w:val="20"/>
          <w:lang w:val="en-GB"/>
        </w:rPr>
        <w:t>I</w:t>
      </w:r>
      <w:r>
        <w:rPr>
          <w:rFonts w:eastAsia="微软雅黑"/>
          <w:sz w:val="20"/>
          <w:szCs w:val="20"/>
          <w:lang w:val="en-GB"/>
        </w:rPr>
        <w:t>n Rel-15, the following two alternative criteria for group based beam reporting were discussed and agreed for down-selection or merging.</w:t>
      </w:r>
    </w:p>
    <w:p w:rsidR="00402F9E" w:rsidRDefault="00402F9E">
      <w:pPr>
        <w:numPr>
          <w:ilvl w:val="1"/>
          <w:numId w:val="8"/>
        </w:numPr>
        <w:snapToGrid w:val="0"/>
        <w:spacing w:before="120" w:after="120" w:line="300" w:lineRule="auto"/>
        <w:ind w:left="709" w:hanging="289"/>
        <w:jc w:val="both"/>
        <w:rPr>
          <w:rFonts w:eastAsia="微软雅黑"/>
          <w:sz w:val="20"/>
          <w:szCs w:val="20"/>
          <w:lang w:val="en-GB"/>
        </w:rPr>
      </w:pPr>
      <w:r>
        <w:rPr>
          <w:rFonts w:eastAsia="微软雅黑"/>
          <w:sz w:val="20"/>
          <w:szCs w:val="20"/>
          <w:lang w:val="en-GB"/>
        </w:rPr>
        <w:t xml:space="preserve">In our views, </w:t>
      </w:r>
      <w:r>
        <w:rPr>
          <w:sz w:val="20"/>
          <w:szCs w:val="20"/>
        </w:rPr>
        <w:t>Alt-2 (antenna group based reporting)</w:t>
      </w:r>
      <w:r>
        <w:rPr>
          <w:rFonts w:eastAsia="微软雅黑"/>
          <w:sz w:val="20"/>
          <w:szCs w:val="20"/>
          <w:lang w:val="en-GB"/>
        </w:rPr>
        <w:t xml:space="preserve"> is beneficial for DL and UL panel-specific beam management. For instance, for mDCI case in mTRP, the different groups can be associated with two different TPRs, and consequently the subsequent beam </w:t>
      </w:r>
      <w:r>
        <w:rPr>
          <w:i/>
          <w:sz w:val="20"/>
          <w:szCs w:val="20"/>
        </w:rPr>
        <w:t>refinement</w:t>
      </w:r>
      <w:r>
        <w:rPr>
          <w:rFonts w:eastAsia="微软雅黑"/>
          <w:sz w:val="20"/>
          <w:szCs w:val="20"/>
          <w:lang w:val="en-GB"/>
        </w:rPr>
        <w:t xml:space="preserve"> and CSI measurement for two TRPs can be performed independently. </w:t>
      </w:r>
    </w:p>
    <w:p w:rsidR="00402F9E" w:rsidRDefault="00402F9E">
      <w:pPr>
        <w:numPr>
          <w:ilvl w:val="1"/>
          <w:numId w:val="8"/>
        </w:numPr>
        <w:snapToGrid w:val="0"/>
        <w:spacing w:before="120" w:after="120" w:line="300" w:lineRule="auto"/>
        <w:ind w:left="709" w:hanging="289"/>
        <w:jc w:val="both"/>
        <w:rPr>
          <w:rFonts w:eastAsia="微软雅黑"/>
          <w:sz w:val="20"/>
          <w:szCs w:val="20"/>
          <w:lang w:val="en-GB"/>
        </w:rPr>
      </w:pPr>
      <w:r>
        <w:rPr>
          <w:rFonts w:eastAsia="微软雅黑"/>
          <w:sz w:val="20"/>
          <w:szCs w:val="20"/>
          <w:lang w:val="en-GB"/>
        </w:rPr>
        <w:t xml:space="preserve">But, in a specific case, e.g., L1-SINR reporting and sDCI in mTRP, the UE can well consider the inter-beam/panel interference through using </w:t>
      </w:r>
      <w:r>
        <w:rPr>
          <w:sz w:val="20"/>
          <w:szCs w:val="20"/>
        </w:rPr>
        <w:t>Alt-1 (beam group based reporting)</w:t>
      </w:r>
      <w:r>
        <w:rPr>
          <w:rFonts w:eastAsia="微软雅黑"/>
          <w:sz w:val="20"/>
          <w:szCs w:val="20"/>
          <w:lang w:val="en-GB"/>
        </w:rPr>
        <w:t xml:space="preserve"> and can provide a better spatial multiplexing (high-RANK DL transmission).</w:t>
      </w:r>
    </w:p>
    <w:p w:rsidR="00402F9E" w:rsidRDefault="00402F9E">
      <w:pPr>
        <w:snapToGrid w:val="0"/>
        <w:spacing w:before="120" w:after="120" w:line="300" w:lineRule="auto"/>
        <w:jc w:val="both"/>
        <w:rPr>
          <w:rFonts w:eastAsia="微软雅黑"/>
          <w:sz w:val="20"/>
          <w:szCs w:val="20"/>
          <w:lang w:val="en-GB"/>
        </w:rPr>
      </w:pPr>
      <w:r>
        <w:rPr>
          <w:rFonts w:eastAsia="微软雅黑"/>
          <w:sz w:val="20"/>
          <w:szCs w:val="20"/>
          <w:lang w:val="en-GB"/>
        </w:rPr>
        <w:t>Consequently, we need to further study and identify the usages of Alt-1 (beam group based reporting) and Alt-2 (antenna group based reporting) in multi-panel and multi-TRP case, e.g., sDCI/mDCI, L1-RSRP/L1-SINR reporting.</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63"/>
      </w:tblGrid>
      <w:tr w:rsidR="00402F9E">
        <w:tc>
          <w:tcPr>
            <w:tcW w:w="9463" w:type="dxa"/>
          </w:tcPr>
          <w:p w:rsidR="00402F9E" w:rsidRDefault="00402F9E">
            <w:pPr>
              <w:adjustRightInd w:val="0"/>
              <w:snapToGrid w:val="0"/>
              <w:spacing w:beforeLines="25" w:before="60"/>
              <w:jc w:val="both"/>
              <w:rPr>
                <w:sz w:val="20"/>
                <w:szCs w:val="20"/>
              </w:rPr>
            </w:pPr>
            <w:r>
              <w:rPr>
                <w:sz w:val="20"/>
                <w:szCs w:val="20"/>
              </w:rPr>
              <w:t>Alt-1 (beam group based reporting):</w:t>
            </w:r>
            <w:r>
              <w:rPr>
                <w:rFonts w:hint="eastAsia"/>
                <w:sz w:val="20"/>
                <w:szCs w:val="20"/>
              </w:rPr>
              <w:t xml:space="preserve"> </w:t>
            </w:r>
            <w:r>
              <w:rPr>
                <w:sz w:val="20"/>
                <w:szCs w:val="20"/>
              </w:rPr>
              <w:t xml:space="preserve">UE reports information about TRP Tx Beam(s) that can be received using selected UE Rx beam set(s) where a Rx beam set refers to a set of UE Rx beams that are used for receiving a DL signal. </w:t>
            </w:r>
          </w:p>
          <w:p w:rsidR="00402F9E" w:rsidRDefault="00402F9E">
            <w:pPr>
              <w:numPr>
                <w:ilvl w:val="0"/>
                <w:numId w:val="7"/>
              </w:numPr>
              <w:adjustRightInd w:val="0"/>
              <w:snapToGrid w:val="0"/>
              <w:spacing w:beforeLines="25" w:before="60"/>
              <w:ind w:left="426"/>
              <w:jc w:val="both"/>
              <w:rPr>
                <w:sz w:val="20"/>
                <w:szCs w:val="20"/>
              </w:rPr>
            </w:pPr>
            <w:r>
              <w:rPr>
                <w:sz w:val="20"/>
                <w:szCs w:val="20"/>
              </w:rPr>
              <w:t>NOTE: Different TRP Tx beams reported for the same Rx beam set can be received simultaneously at the UE.</w:t>
            </w:r>
          </w:p>
          <w:p w:rsidR="00402F9E" w:rsidRDefault="00402F9E">
            <w:pPr>
              <w:numPr>
                <w:ilvl w:val="0"/>
                <w:numId w:val="7"/>
              </w:numPr>
              <w:adjustRightInd w:val="0"/>
              <w:snapToGrid w:val="0"/>
              <w:spacing w:beforeLines="25" w:before="60"/>
              <w:ind w:left="426"/>
              <w:jc w:val="both"/>
              <w:rPr>
                <w:sz w:val="20"/>
                <w:szCs w:val="20"/>
              </w:rPr>
            </w:pPr>
            <w:r>
              <w:rPr>
                <w:sz w:val="20"/>
                <w:szCs w:val="20"/>
              </w:rPr>
              <w:t>NOTE: Different TRP TX beams reported for different UE Rx beam set may not be possible to be received simultaneously at the UE</w:t>
            </w:r>
          </w:p>
          <w:p w:rsidR="00402F9E" w:rsidRDefault="00402F9E">
            <w:pPr>
              <w:adjustRightInd w:val="0"/>
              <w:snapToGrid w:val="0"/>
              <w:spacing w:beforeLines="25" w:before="60"/>
              <w:jc w:val="both"/>
              <w:rPr>
                <w:sz w:val="20"/>
                <w:szCs w:val="20"/>
              </w:rPr>
            </w:pPr>
            <w:r>
              <w:rPr>
                <w:sz w:val="20"/>
                <w:szCs w:val="20"/>
              </w:rPr>
              <w:t xml:space="preserve"> Alt-2 (antenna group based reporting): UE reports information about TRP Tx Beam(s) per UE antenna group basis where UE antenna group refers to receive UE antenna panel or subarray. </w:t>
            </w:r>
          </w:p>
          <w:p w:rsidR="00402F9E" w:rsidRDefault="00402F9E">
            <w:pPr>
              <w:numPr>
                <w:ilvl w:val="0"/>
                <w:numId w:val="7"/>
              </w:numPr>
              <w:adjustRightInd w:val="0"/>
              <w:snapToGrid w:val="0"/>
              <w:spacing w:beforeLines="25" w:before="60"/>
              <w:ind w:left="426"/>
              <w:jc w:val="both"/>
              <w:rPr>
                <w:sz w:val="20"/>
                <w:szCs w:val="20"/>
              </w:rPr>
            </w:pPr>
            <w:r>
              <w:rPr>
                <w:sz w:val="20"/>
                <w:szCs w:val="20"/>
              </w:rPr>
              <w:t>NOTE: Different TX beams reported for different antenna groups can be received simultaneously at the UE.</w:t>
            </w:r>
          </w:p>
          <w:p w:rsidR="00402F9E" w:rsidRDefault="00402F9E">
            <w:pPr>
              <w:numPr>
                <w:ilvl w:val="0"/>
                <w:numId w:val="7"/>
              </w:numPr>
              <w:adjustRightInd w:val="0"/>
              <w:snapToGrid w:val="0"/>
              <w:spacing w:beforeLines="25" w:before="60"/>
              <w:ind w:left="426"/>
              <w:jc w:val="both"/>
              <w:rPr>
                <w:sz w:val="20"/>
                <w:szCs w:val="20"/>
              </w:rPr>
            </w:pPr>
            <w:r>
              <w:rPr>
                <w:sz w:val="20"/>
                <w:szCs w:val="20"/>
              </w:rPr>
              <w:t>NOTE: Different TX beams reported for the same UE antenna group may not be possible to be received simultaneously at the UE</w:t>
            </w:r>
          </w:p>
        </w:tc>
      </w:tr>
    </w:tbl>
    <w:p w:rsidR="00402F9E" w:rsidRDefault="00402F9E" w:rsidP="004C3740">
      <w:pPr>
        <w:spacing w:beforeLines="50" w:before="120" w:after="120" w:line="300" w:lineRule="auto"/>
        <w:jc w:val="both"/>
        <w:rPr>
          <w:i/>
          <w:sz w:val="20"/>
          <w:szCs w:val="20"/>
        </w:rPr>
      </w:pPr>
      <w:r>
        <w:rPr>
          <w:b/>
          <w:i/>
          <w:sz w:val="20"/>
          <w:szCs w:val="20"/>
        </w:rPr>
        <w:t>Observation</w:t>
      </w:r>
      <w:r>
        <w:rPr>
          <w:rFonts w:hint="eastAsia"/>
          <w:b/>
          <w:i/>
          <w:sz w:val="20"/>
          <w:szCs w:val="20"/>
        </w:rPr>
        <w:t xml:space="preserve"> </w:t>
      </w:r>
      <w:r>
        <w:rPr>
          <w:b/>
          <w:i/>
          <w:sz w:val="20"/>
          <w:szCs w:val="20"/>
        </w:rPr>
        <w:t>2</w:t>
      </w:r>
      <w:r>
        <w:rPr>
          <w:rFonts w:hint="eastAsia"/>
          <w:b/>
          <w:i/>
          <w:sz w:val="20"/>
          <w:szCs w:val="20"/>
        </w:rPr>
        <w:t xml:space="preserve">: </w:t>
      </w:r>
      <w:r>
        <w:rPr>
          <w:i/>
          <w:sz w:val="20"/>
          <w:szCs w:val="20"/>
        </w:rPr>
        <w:t>Group-based reporting should be regarded as an essential solution for the case of multi-panel operation including both DL multi-panel reception and UL fast panel selection.</w:t>
      </w:r>
    </w:p>
    <w:p w:rsidR="00402F9E" w:rsidRDefault="00402F9E" w:rsidP="004C3740">
      <w:pPr>
        <w:numPr>
          <w:ilvl w:val="1"/>
          <w:numId w:val="8"/>
        </w:numPr>
        <w:snapToGrid w:val="0"/>
        <w:spacing w:before="50" w:after="120" w:line="300" w:lineRule="auto"/>
        <w:ind w:left="709" w:hanging="289"/>
        <w:jc w:val="both"/>
        <w:rPr>
          <w:i/>
          <w:sz w:val="20"/>
          <w:szCs w:val="20"/>
        </w:rPr>
      </w:pPr>
      <w:r>
        <w:rPr>
          <w:rFonts w:hint="eastAsia"/>
          <w:i/>
          <w:sz w:val="20"/>
          <w:szCs w:val="20"/>
        </w:rPr>
        <w:t>R</w:t>
      </w:r>
      <w:r>
        <w:rPr>
          <w:i/>
          <w:sz w:val="20"/>
          <w:szCs w:val="20"/>
        </w:rPr>
        <w:t>egarding criteria for group based reporting, the antenna group based reporting (Alt-2) is very beneficial for DL and UL panel-specific beam management, but beam group based reporting (Alt-1) is more suitable for optimizing inter-beam/panel interference.</w:t>
      </w:r>
    </w:p>
    <w:p w:rsidR="00402F9E" w:rsidRDefault="00402F9E">
      <w:pPr>
        <w:overflowPunct w:val="0"/>
        <w:autoSpaceDE w:val="0"/>
        <w:autoSpaceDN w:val="0"/>
        <w:adjustRightInd w:val="0"/>
        <w:spacing w:beforeLines="50" w:before="120" w:after="120" w:line="300" w:lineRule="auto"/>
        <w:jc w:val="both"/>
        <w:textAlignment w:val="baseline"/>
        <w:rPr>
          <w:rFonts w:eastAsia="微软雅黑"/>
          <w:sz w:val="20"/>
          <w:szCs w:val="20"/>
          <w:lang w:val="en-GB"/>
        </w:rPr>
      </w:pPr>
      <w:r>
        <w:rPr>
          <w:rFonts w:eastAsia="微软雅黑"/>
          <w:sz w:val="20"/>
          <w:szCs w:val="20"/>
          <w:lang w:val="en-GB"/>
        </w:rPr>
        <w:t xml:space="preserve">The Rel-15/16 group based reporting with only N=2 Tx beams to be reported significantly restricts system flexibility and weakens diversity gain through dynamically indicating one of multiple candidate beams in multi-panel/TRP cases. According to the grouping criteria of Alt 2 (antenna group based reporting), we evaluate SLS performance for the case that </w:t>
      </w:r>
      <w:r>
        <w:rPr>
          <w:rFonts w:eastAsia="微软雅黑" w:hint="eastAsia"/>
          <w:sz w:val="20"/>
          <w:szCs w:val="20"/>
          <w:lang w:val="en-GB"/>
        </w:rPr>
        <w:t>a</w:t>
      </w:r>
      <w:r>
        <w:rPr>
          <w:rFonts w:eastAsia="微软雅黑"/>
          <w:sz w:val="20"/>
          <w:szCs w:val="20"/>
          <w:lang w:val="en-GB"/>
        </w:rPr>
        <w:t xml:space="preserve"> UE with 2 Rx panels is served by 2 TRP in indoor hotspot and dense urban under UE blockage model of TS 38.901. In dense urban, we consider the high-mobility case, i.e., speed of UE = 60 km/h. The evaluation assumptions can be found in the appendix. </w:t>
      </w:r>
    </w:p>
    <w:p w:rsidR="00402F9E" w:rsidRDefault="00402F9E">
      <w:pPr>
        <w:overflowPunct w:val="0"/>
        <w:autoSpaceDE w:val="0"/>
        <w:autoSpaceDN w:val="0"/>
        <w:adjustRightInd w:val="0"/>
        <w:spacing w:beforeLines="50" w:before="120" w:after="120" w:line="300" w:lineRule="auto"/>
        <w:jc w:val="both"/>
        <w:textAlignment w:val="baseline"/>
        <w:rPr>
          <w:sz w:val="20"/>
          <w:szCs w:val="20"/>
        </w:rPr>
      </w:pPr>
      <w:r>
        <w:rPr>
          <w:rFonts w:eastAsia="微软雅黑"/>
          <w:sz w:val="20"/>
          <w:szCs w:val="20"/>
          <w:lang w:val="en-GB"/>
        </w:rPr>
        <w:t xml:space="preserve">The simulation results for indoor hotspot and dense urban are provided as a function of number of beams per group in a report instance and can be found in Table 1 and Table 2 respectively. The Rel-15 group based reporting (up to 1 beam for each of 2 UE panels is reporting) is considered as baseline. </w:t>
      </w:r>
      <w:r>
        <w:rPr>
          <w:sz w:val="20"/>
          <w:szCs w:val="20"/>
        </w:rPr>
        <w:t xml:space="preserve">From the evaluation results, it can be observed </w:t>
      </w:r>
      <w:r>
        <w:rPr>
          <w:sz w:val="20"/>
          <w:szCs w:val="20"/>
        </w:rPr>
        <w:lastRenderedPageBreak/>
        <w:t>that increase number of beams per group can bring performance benefit due to combat blockage and UE mobility. Specifically, we have the further observation as follows.</w:t>
      </w:r>
    </w:p>
    <w:p w:rsidR="00402F9E" w:rsidRDefault="00402F9E">
      <w:pPr>
        <w:numPr>
          <w:ilvl w:val="0"/>
          <w:numId w:val="8"/>
        </w:numPr>
        <w:overflowPunct w:val="0"/>
        <w:autoSpaceDE w:val="0"/>
        <w:autoSpaceDN w:val="0"/>
        <w:adjustRightInd w:val="0"/>
        <w:spacing w:beforeLines="50" w:before="120" w:after="120" w:line="300" w:lineRule="auto"/>
        <w:jc w:val="both"/>
        <w:textAlignment w:val="baseline"/>
        <w:rPr>
          <w:rFonts w:eastAsia="微软雅黑"/>
          <w:sz w:val="20"/>
          <w:szCs w:val="20"/>
          <w:lang w:val="en-GB"/>
        </w:rPr>
      </w:pPr>
      <w:r>
        <w:rPr>
          <w:sz w:val="20"/>
          <w:szCs w:val="20"/>
        </w:rPr>
        <w:t xml:space="preserve">With the increase of the number of groups to be reports M from only 1 to 4, the performance gain of 7.7% and 5.6% in terms of average UPT can be observed in indoor hotspot and </w:t>
      </w:r>
      <w:r>
        <w:rPr>
          <w:rFonts w:eastAsia="微软雅黑"/>
          <w:sz w:val="20"/>
          <w:szCs w:val="20"/>
          <w:lang w:val="en-GB"/>
        </w:rPr>
        <w:t xml:space="preserve">dense urban. </w:t>
      </w:r>
    </w:p>
    <w:p w:rsidR="00402F9E" w:rsidRDefault="00402F9E">
      <w:pPr>
        <w:numPr>
          <w:ilvl w:val="0"/>
          <w:numId w:val="8"/>
        </w:numPr>
        <w:overflowPunct w:val="0"/>
        <w:autoSpaceDE w:val="0"/>
        <w:autoSpaceDN w:val="0"/>
        <w:adjustRightInd w:val="0"/>
        <w:spacing w:beforeLines="50" w:before="120" w:after="120" w:line="300" w:lineRule="auto"/>
        <w:jc w:val="both"/>
        <w:textAlignment w:val="baseline"/>
        <w:rPr>
          <w:rFonts w:eastAsia="微软雅黑"/>
          <w:sz w:val="20"/>
          <w:szCs w:val="20"/>
          <w:lang w:val="en-GB"/>
        </w:rPr>
      </w:pPr>
      <w:r>
        <w:rPr>
          <w:rFonts w:eastAsia="微软雅黑"/>
          <w:sz w:val="20"/>
          <w:szCs w:val="20"/>
          <w:lang w:val="en-GB"/>
        </w:rPr>
        <w:t xml:space="preserve">For 5% cell edge UE in dense urban, we can find the performance gain of </w:t>
      </w:r>
      <w:r>
        <w:rPr>
          <w:rFonts w:eastAsia="微软雅黑" w:hint="eastAsia"/>
          <w:sz w:val="20"/>
          <w:szCs w:val="20"/>
          <w:lang w:val="en-GB"/>
        </w:rPr>
        <w:t>36.8%</w:t>
      </w:r>
      <w:r>
        <w:rPr>
          <w:rFonts w:eastAsia="微软雅黑"/>
          <w:sz w:val="20"/>
          <w:szCs w:val="20"/>
          <w:lang w:val="en-GB"/>
        </w:rPr>
        <w:t xml:space="preserve"> compared with Rel-15 group based reporting</w:t>
      </w:r>
      <w:r>
        <w:rPr>
          <w:sz w:val="20"/>
          <w:szCs w:val="20"/>
          <w:lang w:val="en-GB"/>
        </w:rPr>
        <w:t xml:space="preserve">, which proves that the increase of candidate beams for each UE panel can distinctly enhance the performance of cell-edge UE </w:t>
      </w:r>
      <w:r w:rsidR="00350DF0">
        <w:rPr>
          <w:sz w:val="20"/>
          <w:szCs w:val="20"/>
          <w:lang w:val="en-GB"/>
        </w:rPr>
        <w:t xml:space="preserve">with high mobility </w:t>
      </w:r>
      <w:r>
        <w:rPr>
          <w:sz w:val="20"/>
          <w:szCs w:val="20"/>
          <w:lang w:val="en-GB"/>
        </w:rPr>
        <w:t xml:space="preserve">and be against the blockage </w:t>
      </w:r>
      <w:r w:rsidR="00350DF0">
        <w:rPr>
          <w:sz w:val="20"/>
          <w:szCs w:val="20"/>
          <w:lang w:val="en-GB"/>
        </w:rPr>
        <w:t>and UE mobility.</w:t>
      </w:r>
      <w:r>
        <w:rPr>
          <w:sz w:val="20"/>
          <w:szCs w:val="20"/>
          <w:lang w:val="en-GB"/>
        </w:rPr>
        <w:t xml:space="preserve"> </w:t>
      </w:r>
    </w:p>
    <w:p w:rsidR="00402F9E" w:rsidRDefault="00402F9E">
      <w:pPr>
        <w:snapToGrid w:val="0"/>
        <w:spacing w:before="120" w:afterLines="50" w:after="120"/>
        <w:jc w:val="center"/>
        <w:rPr>
          <w:rFonts w:eastAsia="微软雅黑"/>
          <w:sz w:val="20"/>
          <w:szCs w:val="20"/>
          <w:lang w:val="en-GB"/>
        </w:rPr>
      </w:pPr>
      <w:r>
        <w:rPr>
          <w:rFonts w:eastAsia="微软雅黑"/>
          <w:b/>
          <w:sz w:val="20"/>
          <w:szCs w:val="20"/>
          <w:lang w:val="en-GB"/>
        </w:rPr>
        <w:t>Table 1</w:t>
      </w:r>
      <w:r>
        <w:rPr>
          <w:rFonts w:eastAsia="微软雅黑" w:hint="eastAsia"/>
          <w:sz w:val="20"/>
          <w:szCs w:val="20"/>
          <w:lang w:val="en-GB"/>
        </w:rPr>
        <w:tab/>
      </w:r>
      <w:r>
        <w:rPr>
          <w:rFonts w:eastAsia="微软雅黑"/>
          <w:sz w:val="20"/>
          <w:szCs w:val="20"/>
          <w:lang w:val="en-GB"/>
        </w:rPr>
        <w:t xml:space="preserve">SLS for </w:t>
      </w:r>
      <w:r>
        <w:rPr>
          <w:rFonts w:eastAsia="微软雅黑" w:hint="eastAsia"/>
          <w:sz w:val="20"/>
          <w:szCs w:val="20"/>
          <w:lang w:val="en-GB"/>
        </w:rPr>
        <w:t xml:space="preserve">group based reporting with </w:t>
      </w:r>
      <w:r>
        <w:rPr>
          <w:rFonts w:eastAsia="微软雅黑" w:hint="eastAsia"/>
          <w:b/>
          <w:i/>
          <w:sz w:val="20"/>
          <w:szCs w:val="20"/>
          <w:lang w:val="en-GB"/>
        </w:rPr>
        <w:t xml:space="preserve">M beams per group to be reported and </w:t>
      </w:r>
      <w:r>
        <w:rPr>
          <w:rFonts w:eastAsia="微软雅黑"/>
          <w:b/>
          <w:i/>
          <w:sz w:val="20"/>
          <w:szCs w:val="20"/>
          <w:lang w:val="en-GB"/>
        </w:rPr>
        <w:t>N groups</w:t>
      </w:r>
      <w:r>
        <w:rPr>
          <w:rFonts w:eastAsia="微软雅黑"/>
          <w:sz w:val="20"/>
          <w:szCs w:val="20"/>
          <w:lang w:val="en-GB"/>
        </w:rPr>
        <w:t xml:space="preserve"> in indoor hotspot</w:t>
      </w:r>
    </w:p>
    <w:tbl>
      <w:tblPr>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9"/>
        <w:gridCol w:w="1554"/>
        <w:gridCol w:w="1559"/>
        <w:gridCol w:w="1701"/>
        <w:gridCol w:w="1701"/>
      </w:tblGrid>
      <w:tr w:rsidR="00402F9E">
        <w:trPr>
          <w:jc w:val="center"/>
        </w:trPr>
        <w:tc>
          <w:tcPr>
            <w:tcW w:w="3119" w:type="dxa"/>
          </w:tcPr>
          <w:p w:rsidR="00402F9E" w:rsidRDefault="00402F9E">
            <w:pPr>
              <w:spacing w:beforeLines="50" w:before="120" w:afterLines="50" w:after="120"/>
              <w:jc w:val="center"/>
              <w:textAlignment w:val="center"/>
              <w:rPr>
                <w:sz w:val="20"/>
                <w:szCs w:val="20"/>
                <w:lang w:val="en-GB"/>
              </w:rPr>
            </w:pPr>
            <w:r>
              <w:rPr>
                <w:rFonts w:hint="eastAsia"/>
                <w:sz w:val="20"/>
                <w:szCs w:val="20"/>
                <w:lang w:val="en-GB"/>
              </w:rPr>
              <w:t>U</w:t>
            </w:r>
            <w:r>
              <w:rPr>
                <w:sz w:val="20"/>
                <w:szCs w:val="20"/>
                <w:lang w:val="en-GB"/>
              </w:rPr>
              <w:t>PT (Mbps)</w:t>
            </w:r>
          </w:p>
        </w:tc>
        <w:tc>
          <w:tcPr>
            <w:tcW w:w="1554" w:type="dxa"/>
          </w:tcPr>
          <w:p w:rsidR="00402F9E" w:rsidRDefault="00402F9E">
            <w:pPr>
              <w:spacing w:beforeLines="50" w:before="120" w:afterLines="50" w:after="120"/>
              <w:jc w:val="center"/>
              <w:textAlignment w:val="center"/>
              <w:rPr>
                <w:sz w:val="20"/>
                <w:szCs w:val="20"/>
                <w:lang w:val="en-GB"/>
              </w:rPr>
            </w:pPr>
            <w:r>
              <w:rPr>
                <w:sz w:val="20"/>
                <w:szCs w:val="20"/>
                <w:lang w:val="en-GB"/>
              </w:rPr>
              <w:t xml:space="preserve"> mean</w:t>
            </w:r>
          </w:p>
        </w:tc>
        <w:tc>
          <w:tcPr>
            <w:tcW w:w="1559" w:type="dxa"/>
          </w:tcPr>
          <w:p w:rsidR="00402F9E" w:rsidRDefault="00402F9E">
            <w:pPr>
              <w:spacing w:beforeLines="50" w:before="120" w:afterLines="50" w:after="120"/>
              <w:jc w:val="center"/>
              <w:textAlignment w:val="center"/>
              <w:rPr>
                <w:sz w:val="20"/>
                <w:szCs w:val="20"/>
                <w:lang w:val="en-GB"/>
              </w:rPr>
            </w:pPr>
            <w:r>
              <w:rPr>
                <w:sz w:val="20"/>
                <w:szCs w:val="20"/>
                <w:lang w:val="en-GB"/>
              </w:rPr>
              <w:t>5%-ile</w:t>
            </w:r>
          </w:p>
        </w:tc>
        <w:tc>
          <w:tcPr>
            <w:tcW w:w="1701" w:type="dxa"/>
          </w:tcPr>
          <w:p w:rsidR="00402F9E" w:rsidRDefault="00402F9E">
            <w:pPr>
              <w:spacing w:beforeLines="50" w:before="120" w:afterLines="50" w:after="120"/>
              <w:jc w:val="center"/>
              <w:textAlignment w:val="center"/>
              <w:rPr>
                <w:sz w:val="20"/>
                <w:szCs w:val="20"/>
                <w:lang w:val="en-GB"/>
              </w:rPr>
            </w:pPr>
            <w:r>
              <w:rPr>
                <w:sz w:val="20"/>
                <w:szCs w:val="20"/>
                <w:lang w:val="en-GB"/>
              </w:rPr>
              <w:t>50%-ile</w:t>
            </w:r>
          </w:p>
        </w:tc>
        <w:tc>
          <w:tcPr>
            <w:tcW w:w="1701" w:type="dxa"/>
          </w:tcPr>
          <w:p w:rsidR="00402F9E" w:rsidRDefault="00402F9E">
            <w:pPr>
              <w:spacing w:beforeLines="50" w:before="120" w:afterLines="50" w:after="120"/>
              <w:jc w:val="center"/>
              <w:textAlignment w:val="center"/>
              <w:rPr>
                <w:sz w:val="20"/>
                <w:szCs w:val="20"/>
                <w:lang w:val="en-GB"/>
              </w:rPr>
            </w:pPr>
            <w:r>
              <w:rPr>
                <w:sz w:val="20"/>
                <w:szCs w:val="20"/>
                <w:lang w:val="en-GB"/>
              </w:rPr>
              <w:t>95%-ile</w:t>
            </w:r>
          </w:p>
        </w:tc>
      </w:tr>
      <w:tr w:rsidR="00402F9E">
        <w:trPr>
          <w:jc w:val="center"/>
        </w:trPr>
        <w:tc>
          <w:tcPr>
            <w:tcW w:w="3119" w:type="dxa"/>
          </w:tcPr>
          <w:p w:rsidR="00402F9E" w:rsidRDefault="00402F9E">
            <w:pPr>
              <w:spacing w:beforeLines="50" w:before="120" w:afterLines="50" w:after="120"/>
              <w:jc w:val="center"/>
              <w:textAlignment w:val="center"/>
              <w:rPr>
                <w:sz w:val="20"/>
                <w:szCs w:val="20"/>
                <w:lang w:val="en-GB"/>
              </w:rPr>
            </w:pPr>
            <w:r>
              <w:rPr>
                <w:sz w:val="20"/>
                <w:szCs w:val="20"/>
                <w:lang w:val="en-GB"/>
              </w:rPr>
              <w:t>(</w:t>
            </w:r>
            <w:r>
              <w:rPr>
                <w:rFonts w:hint="eastAsia"/>
                <w:sz w:val="20"/>
                <w:szCs w:val="20"/>
                <w:lang w:val="en-GB"/>
              </w:rPr>
              <w:t>N = 2 group</w:t>
            </w:r>
            <w:r>
              <w:rPr>
                <w:sz w:val="20"/>
                <w:szCs w:val="20"/>
                <w:lang w:val="en-GB"/>
              </w:rPr>
              <w:t xml:space="preserve">, </w:t>
            </w:r>
            <w:r>
              <w:rPr>
                <w:rFonts w:hint="eastAsia"/>
                <w:sz w:val="20"/>
                <w:szCs w:val="20"/>
                <w:lang w:val="en-GB"/>
              </w:rPr>
              <w:t xml:space="preserve">M = </w:t>
            </w:r>
            <w:r>
              <w:rPr>
                <w:sz w:val="20"/>
                <w:szCs w:val="20"/>
                <w:lang w:val="en-GB"/>
              </w:rPr>
              <w:t>1</w:t>
            </w:r>
            <w:r>
              <w:rPr>
                <w:rFonts w:hint="eastAsia"/>
                <w:sz w:val="20"/>
                <w:szCs w:val="20"/>
                <w:lang w:val="en-GB"/>
              </w:rPr>
              <w:t xml:space="preserve"> beam</w:t>
            </w:r>
            <w:r>
              <w:rPr>
                <w:sz w:val="20"/>
                <w:szCs w:val="20"/>
                <w:lang w:val="en-GB"/>
              </w:rPr>
              <w:t>)</w:t>
            </w:r>
          </w:p>
          <w:p w:rsidR="00402F9E" w:rsidRDefault="00402F9E">
            <w:pPr>
              <w:spacing w:beforeLines="50" w:before="120" w:afterLines="50" w:after="120"/>
              <w:jc w:val="center"/>
              <w:textAlignment w:val="center"/>
              <w:rPr>
                <w:sz w:val="20"/>
                <w:szCs w:val="20"/>
                <w:lang w:val="en-GB"/>
              </w:rPr>
            </w:pPr>
            <w:r>
              <w:rPr>
                <w:sz w:val="20"/>
                <w:szCs w:val="20"/>
                <w:lang w:val="en-GB"/>
              </w:rPr>
              <w:t>i.e., Rel-15 group reporting</w:t>
            </w:r>
          </w:p>
        </w:tc>
        <w:tc>
          <w:tcPr>
            <w:tcW w:w="1554" w:type="dxa"/>
          </w:tcPr>
          <w:p w:rsidR="00402F9E" w:rsidRDefault="00402F9E">
            <w:pPr>
              <w:spacing w:beforeLines="50" w:before="120" w:afterLines="50" w:after="120"/>
              <w:jc w:val="center"/>
              <w:textAlignment w:val="center"/>
              <w:rPr>
                <w:sz w:val="20"/>
                <w:szCs w:val="20"/>
                <w:lang w:val="en-GB"/>
              </w:rPr>
            </w:pPr>
            <w:r>
              <w:rPr>
                <w:sz w:val="20"/>
                <w:szCs w:val="20"/>
                <w:lang w:val="en-GB"/>
              </w:rPr>
              <w:t>89.48</w:t>
            </w:r>
          </w:p>
          <w:p w:rsidR="00402F9E" w:rsidRDefault="00402F9E">
            <w:pPr>
              <w:spacing w:beforeLines="50" w:before="120" w:afterLines="50" w:after="12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c>
          <w:tcPr>
            <w:tcW w:w="1559" w:type="dxa"/>
          </w:tcPr>
          <w:p w:rsidR="00402F9E" w:rsidRDefault="00402F9E">
            <w:pPr>
              <w:spacing w:beforeLines="50" w:before="120" w:afterLines="50" w:after="120"/>
              <w:jc w:val="center"/>
              <w:textAlignment w:val="center"/>
              <w:rPr>
                <w:sz w:val="20"/>
                <w:szCs w:val="20"/>
                <w:lang w:val="en-GB"/>
              </w:rPr>
            </w:pPr>
            <w:r>
              <w:rPr>
                <w:sz w:val="20"/>
                <w:szCs w:val="20"/>
                <w:lang w:val="en-GB"/>
              </w:rPr>
              <w:t>52.02</w:t>
            </w:r>
          </w:p>
          <w:p w:rsidR="00402F9E" w:rsidRDefault="00402F9E">
            <w:pPr>
              <w:spacing w:beforeLines="50" w:before="120" w:afterLines="50" w:after="12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c>
          <w:tcPr>
            <w:tcW w:w="1701" w:type="dxa"/>
          </w:tcPr>
          <w:p w:rsidR="00402F9E" w:rsidRDefault="00402F9E">
            <w:pPr>
              <w:spacing w:beforeLines="50" w:before="120" w:afterLines="50" w:after="120"/>
              <w:jc w:val="center"/>
              <w:textAlignment w:val="center"/>
              <w:rPr>
                <w:sz w:val="20"/>
                <w:szCs w:val="20"/>
                <w:lang w:val="en-GB"/>
              </w:rPr>
            </w:pPr>
            <w:r>
              <w:rPr>
                <w:rFonts w:hint="eastAsia"/>
                <w:sz w:val="20"/>
                <w:szCs w:val="20"/>
                <w:lang w:val="en-GB"/>
              </w:rPr>
              <w:t>7</w:t>
            </w:r>
            <w:r>
              <w:rPr>
                <w:sz w:val="20"/>
                <w:szCs w:val="20"/>
                <w:lang w:val="en-GB"/>
              </w:rPr>
              <w:t>9.20</w:t>
            </w:r>
          </w:p>
          <w:p w:rsidR="00402F9E" w:rsidRDefault="00402F9E">
            <w:pPr>
              <w:spacing w:beforeLines="50" w:before="120" w:afterLines="50" w:after="12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c>
          <w:tcPr>
            <w:tcW w:w="1701" w:type="dxa"/>
          </w:tcPr>
          <w:p w:rsidR="00402F9E" w:rsidRDefault="00402F9E">
            <w:pPr>
              <w:spacing w:beforeLines="50" w:before="120" w:afterLines="50" w:after="120"/>
              <w:jc w:val="center"/>
              <w:textAlignment w:val="center"/>
              <w:rPr>
                <w:sz w:val="20"/>
                <w:szCs w:val="20"/>
                <w:lang w:val="en-GB"/>
              </w:rPr>
            </w:pPr>
            <w:r>
              <w:rPr>
                <w:sz w:val="20"/>
                <w:szCs w:val="20"/>
                <w:lang w:val="en-GB"/>
              </w:rPr>
              <w:t>176.47</w:t>
            </w:r>
          </w:p>
          <w:p w:rsidR="00402F9E" w:rsidRDefault="00402F9E">
            <w:pPr>
              <w:spacing w:beforeLines="50" w:before="120" w:afterLines="50" w:after="12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r>
      <w:tr w:rsidR="00402F9E">
        <w:trPr>
          <w:jc w:val="center"/>
        </w:trPr>
        <w:tc>
          <w:tcPr>
            <w:tcW w:w="3119" w:type="dxa"/>
          </w:tcPr>
          <w:p w:rsidR="00402F9E" w:rsidRDefault="00402F9E">
            <w:pPr>
              <w:spacing w:beforeLines="50" w:before="120" w:afterLines="50" w:after="120"/>
              <w:jc w:val="center"/>
              <w:textAlignment w:val="center"/>
              <w:rPr>
                <w:sz w:val="20"/>
                <w:szCs w:val="20"/>
                <w:lang w:val="en-GB"/>
              </w:rPr>
            </w:pPr>
            <w:r>
              <w:rPr>
                <w:sz w:val="20"/>
                <w:szCs w:val="20"/>
                <w:lang w:val="en-GB"/>
              </w:rPr>
              <w:t>(</w:t>
            </w:r>
            <w:r>
              <w:rPr>
                <w:rFonts w:hint="eastAsia"/>
                <w:sz w:val="20"/>
                <w:szCs w:val="20"/>
                <w:lang w:val="en-GB"/>
              </w:rPr>
              <w:t>N = 2 group</w:t>
            </w:r>
            <w:r>
              <w:rPr>
                <w:sz w:val="20"/>
                <w:szCs w:val="20"/>
                <w:lang w:val="en-GB"/>
              </w:rPr>
              <w:t xml:space="preserve">, </w:t>
            </w:r>
            <w:r>
              <w:rPr>
                <w:rFonts w:hint="eastAsia"/>
                <w:sz w:val="20"/>
                <w:szCs w:val="20"/>
                <w:lang w:val="en-GB"/>
              </w:rPr>
              <w:t xml:space="preserve">M = </w:t>
            </w:r>
            <w:r>
              <w:rPr>
                <w:sz w:val="20"/>
                <w:szCs w:val="20"/>
                <w:lang w:val="en-GB"/>
              </w:rPr>
              <w:t>2</w:t>
            </w:r>
            <w:r>
              <w:rPr>
                <w:rFonts w:hint="eastAsia"/>
                <w:sz w:val="20"/>
                <w:szCs w:val="20"/>
                <w:lang w:val="en-GB"/>
              </w:rPr>
              <w:t xml:space="preserve"> beam</w:t>
            </w:r>
            <w:r>
              <w:rPr>
                <w:sz w:val="20"/>
                <w:szCs w:val="20"/>
                <w:lang w:val="en-GB"/>
              </w:rPr>
              <w:t>s)</w:t>
            </w:r>
          </w:p>
        </w:tc>
        <w:tc>
          <w:tcPr>
            <w:tcW w:w="1554" w:type="dxa"/>
          </w:tcPr>
          <w:p w:rsidR="00402F9E" w:rsidRDefault="00402F9E">
            <w:pPr>
              <w:spacing w:beforeLines="50" w:before="120" w:afterLines="50" w:after="120"/>
              <w:jc w:val="center"/>
              <w:textAlignment w:val="center"/>
              <w:rPr>
                <w:sz w:val="20"/>
                <w:szCs w:val="20"/>
                <w:lang w:val="en-GB"/>
              </w:rPr>
            </w:pPr>
            <w:r>
              <w:rPr>
                <w:sz w:val="20"/>
                <w:szCs w:val="20"/>
                <w:lang w:val="en-GB"/>
              </w:rPr>
              <w:t>93.34</w:t>
            </w:r>
          </w:p>
          <w:p w:rsidR="00402F9E" w:rsidRDefault="00402F9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+4.3%↑</w:t>
            </w:r>
            <w:r>
              <w:rPr>
                <w:sz w:val="20"/>
                <w:szCs w:val="20"/>
                <w:lang w:val="en-GB"/>
              </w:rPr>
              <w:t>)</w:t>
            </w:r>
          </w:p>
        </w:tc>
        <w:tc>
          <w:tcPr>
            <w:tcW w:w="1559" w:type="dxa"/>
          </w:tcPr>
          <w:p w:rsidR="00402F9E" w:rsidRDefault="00402F9E">
            <w:pPr>
              <w:spacing w:beforeLines="50" w:before="120" w:afterLines="50" w:after="120"/>
              <w:jc w:val="center"/>
              <w:textAlignment w:val="center"/>
              <w:rPr>
                <w:sz w:val="20"/>
                <w:szCs w:val="20"/>
                <w:lang w:val="en-GB"/>
              </w:rPr>
            </w:pPr>
            <w:r>
              <w:rPr>
                <w:sz w:val="20"/>
                <w:szCs w:val="20"/>
                <w:lang w:val="en-GB"/>
              </w:rPr>
              <w:t>55.50</w:t>
            </w:r>
          </w:p>
          <w:p w:rsidR="00402F9E" w:rsidRDefault="00402F9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+6.7%↑</w:t>
            </w:r>
            <w:r>
              <w:rPr>
                <w:sz w:val="20"/>
                <w:szCs w:val="20"/>
                <w:lang w:val="en-GB"/>
              </w:rPr>
              <w:t>)</w:t>
            </w:r>
          </w:p>
        </w:tc>
        <w:tc>
          <w:tcPr>
            <w:tcW w:w="1701" w:type="dxa"/>
          </w:tcPr>
          <w:p w:rsidR="00402F9E" w:rsidRDefault="00402F9E">
            <w:pPr>
              <w:spacing w:beforeLines="50" w:before="120" w:afterLines="50" w:after="120"/>
              <w:jc w:val="center"/>
              <w:textAlignment w:val="center"/>
              <w:rPr>
                <w:sz w:val="20"/>
                <w:szCs w:val="20"/>
                <w:lang w:val="en-GB"/>
              </w:rPr>
            </w:pPr>
            <w:r>
              <w:rPr>
                <w:sz w:val="20"/>
                <w:szCs w:val="20"/>
                <w:lang w:val="en-GB"/>
              </w:rPr>
              <w:t>84.19</w:t>
            </w:r>
          </w:p>
          <w:p w:rsidR="00402F9E" w:rsidRDefault="00402F9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+6.3%↑</w:t>
            </w:r>
            <w:r>
              <w:rPr>
                <w:sz w:val="20"/>
                <w:szCs w:val="20"/>
                <w:lang w:val="en-GB"/>
              </w:rPr>
              <w:t>)</w:t>
            </w:r>
          </w:p>
        </w:tc>
        <w:tc>
          <w:tcPr>
            <w:tcW w:w="1701" w:type="dxa"/>
          </w:tcPr>
          <w:p w:rsidR="00402F9E" w:rsidRDefault="00402F9E">
            <w:pPr>
              <w:spacing w:beforeLines="50" w:before="120" w:afterLines="50" w:after="120"/>
              <w:jc w:val="center"/>
              <w:textAlignment w:val="center"/>
              <w:rPr>
                <w:sz w:val="20"/>
                <w:szCs w:val="20"/>
                <w:lang w:val="en-GB"/>
              </w:rPr>
            </w:pPr>
            <w:r>
              <w:rPr>
                <w:sz w:val="20"/>
                <w:szCs w:val="20"/>
                <w:lang w:val="en-GB"/>
              </w:rPr>
              <w:t>182.06</w:t>
            </w:r>
          </w:p>
          <w:p w:rsidR="00402F9E" w:rsidRDefault="00402F9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+3.2%↑</w:t>
            </w:r>
            <w:r>
              <w:rPr>
                <w:sz w:val="20"/>
                <w:szCs w:val="20"/>
                <w:lang w:val="en-GB"/>
              </w:rPr>
              <w:t>)</w:t>
            </w:r>
          </w:p>
        </w:tc>
      </w:tr>
      <w:tr w:rsidR="00402F9E">
        <w:trPr>
          <w:jc w:val="center"/>
        </w:trPr>
        <w:tc>
          <w:tcPr>
            <w:tcW w:w="3119" w:type="dxa"/>
          </w:tcPr>
          <w:p w:rsidR="00402F9E" w:rsidRDefault="00402F9E">
            <w:pPr>
              <w:spacing w:beforeLines="50" w:before="120" w:afterLines="50" w:after="120"/>
              <w:jc w:val="center"/>
              <w:textAlignment w:val="center"/>
              <w:rPr>
                <w:sz w:val="20"/>
                <w:szCs w:val="20"/>
                <w:lang w:val="en-GB"/>
              </w:rPr>
            </w:pPr>
            <w:r>
              <w:rPr>
                <w:sz w:val="20"/>
                <w:szCs w:val="20"/>
                <w:lang w:val="en-GB"/>
              </w:rPr>
              <w:t>(</w:t>
            </w:r>
            <w:r>
              <w:rPr>
                <w:rFonts w:hint="eastAsia"/>
                <w:sz w:val="20"/>
                <w:szCs w:val="20"/>
                <w:lang w:val="en-GB"/>
              </w:rPr>
              <w:t>N = 2 group</w:t>
            </w:r>
            <w:r>
              <w:rPr>
                <w:sz w:val="20"/>
                <w:szCs w:val="20"/>
                <w:lang w:val="en-GB"/>
              </w:rPr>
              <w:t xml:space="preserve">, </w:t>
            </w:r>
            <w:r>
              <w:rPr>
                <w:rFonts w:hint="eastAsia"/>
                <w:sz w:val="20"/>
                <w:szCs w:val="20"/>
                <w:lang w:val="en-GB"/>
              </w:rPr>
              <w:t xml:space="preserve">M = </w:t>
            </w:r>
            <w:r>
              <w:rPr>
                <w:sz w:val="20"/>
                <w:szCs w:val="20"/>
                <w:lang w:val="en-GB"/>
              </w:rPr>
              <w:t>4</w:t>
            </w:r>
            <w:r>
              <w:rPr>
                <w:rFonts w:hint="eastAsia"/>
                <w:sz w:val="20"/>
                <w:szCs w:val="20"/>
                <w:lang w:val="en-GB"/>
              </w:rPr>
              <w:t xml:space="preserve"> beam</w:t>
            </w:r>
            <w:r>
              <w:rPr>
                <w:sz w:val="20"/>
                <w:szCs w:val="20"/>
                <w:lang w:val="en-GB"/>
              </w:rPr>
              <w:t>s)</w:t>
            </w:r>
          </w:p>
        </w:tc>
        <w:tc>
          <w:tcPr>
            <w:tcW w:w="1554" w:type="dxa"/>
          </w:tcPr>
          <w:p w:rsidR="00402F9E" w:rsidRDefault="00402F9E">
            <w:pPr>
              <w:spacing w:beforeLines="50" w:before="120" w:afterLines="50" w:after="120"/>
              <w:jc w:val="center"/>
              <w:textAlignment w:val="center"/>
              <w:rPr>
                <w:sz w:val="20"/>
                <w:szCs w:val="20"/>
                <w:lang w:val="en-GB"/>
              </w:rPr>
            </w:pPr>
            <w:r>
              <w:rPr>
                <w:sz w:val="20"/>
                <w:szCs w:val="20"/>
                <w:lang w:val="en-GB"/>
              </w:rPr>
              <w:t>96.36</w:t>
            </w:r>
          </w:p>
          <w:p w:rsidR="00402F9E" w:rsidRDefault="00402F9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+7</w:t>
            </w:r>
            <w:r>
              <w:rPr>
                <w:rFonts w:hint="eastAsia"/>
                <w:color w:val="FF0000"/>
                <w:sz w:val="20"/>
                <w:szCs w:val="20"/>
                <w:lang w:val="en-GB"/>
              </w:rPr>
              <w:t>.</w:t>
            </w:r>
            <w:r>
              <w:rPr>
                <w:color w:val="FF0000"/>
                <w:sz w:val="20"/>
                <w:szCs w:val="20"/>
                <w:lang w:val="en-GB"/>
              </w:rPr>
              <w:t>7%↑</w:t>
            </w:r>
            <w:r>
              <w:rPr>
                <w:sz w:val="20"/>
                <w:szCs w:val="20"/>
                <w:lang w:val="en-GB"/>
              </w:rPr>
              <w:t>)</w:t>
            </w:r>
          </w:p>
        </w:tc>
        <w:tc>
          <w:tcPr>
            <w:tcW w:w="1559" w:type="dxa"/>
          </w:tcPr>
          <w:p w:rsidR="00402F9E" w:rsidRDefault="00402F9E">
            <w:pPr>
              <w:spacing w:beforeLines="50" w:before="120" w:afterLines="50" w:after="120"/>
              <w:jc w:val="center"/>
              <w:textAlignment w:val="center"/>
              <w:rPr>
                <w:sz w:val="20"/>
                <w:szCs w:val="20"/>
                <w:lang w:val="en-GB"/>
              </w:rPr>
            </w:pPr>
            <w:r>
              <w:rPr>
                <w:sz w:val="20"/>
                <w:szCs w:val="20"/>
                <w:lang w:val="en-GB"/>
              </w:rPr>
              <w:t>55.82</w:t>
            </w:r>
          </w:p>
          <w:p w:rsidR="00402F9E" w:rsidRDefault="00402F9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+7.3%↑</w:t>
            </w:r>
            <w:r>
              <w:rPr>
                <w:sz w:val="20"/>
                <w:szCs w:val="20"/>
                <w:lang w:val="en-GB"/>
              </w:rPr>
              <w:t>)</w:t>
            </w:r>
          </w:p>
        </w:tc>
        <w:tc>
          <w:tcPr>
            <w:tcW w:w="1701" w:type="dxa"/>
          </w:tcPr>
          <w:p w:rsidR="00402F9E" w:rsidRDefault="00402F9E">
            <w:pPr>
              <w:spacing w:beforeLines="50" w:before="120" w:afterLines="50" w:after="120"/>
              <w:jc w:val="center"/>
              <w:textAlignment w:val="center"/>
              <w:rPr>
                <w:sz w:val="20"/>
                <w:szCs w:val="20"/>
                <w:lang w:val="en-GB"/>
              </w:rPr>
            </w:pPr>
            <w:r>
              <w:rPr>
                <w:sz w:val="20"/>
                <w:szCs w:val="20"/>
                <w:lang w:val="en-GB"/>
              </w:rPr>
              <w:t>84.82</w:t>
            </w:r>
          </w:p>
          <w:p w:rsidR="00402F9E" w:rsidRDefault="00402F9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+7.1%↑</w:t>
            </w:r>
            <w:r>
              <w:rPr>
                <w:sz w:val="20"/>
                <w:szCs w:val="20"/>
                <w:lang w:val="en-GB"/>
              </w:rPr>
              <w:t>)</w:t>
            </w:r>
          </w:p>
        </w:tc>
        <w:tc>
          <w:tcPr>
            <w:tcW w:w="1701" w:type="dxa"/>
          </w:tcPr>
          <w:p w:rsidR="00402F9E" w:rsidRDefault="00402F9E">
            <w:pPr>
              <w:spacing w:beforeLines="50" w:before="120" w:afterLines="50" w:after="120"/>
              <w:jc w:val="center"/>
              <w:textAlignment w:val="center"/>
              <w:rPr>
                <w:sz w:val="20"/>
                <w:szCs w:val="20"/>
                <w:lang w:val="en-GB"/>
              </w:rPr>
            </w:pPr>
            <w:r>
              <w:rPr>
                <w:sz w:val="20"/>
                <w:szCs w:val="20"/>
                <w:lang w:val="en-GB"/>
              </w:rPr>
              <w:t>183.05</w:t>
            </w:r>
          </w:p>
          <w:p w:rsidR="00402F9E" w:rsidRDefault="00402F9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+3.7%↑</w:t>
            </w:r>
            <w:r>
              <w:rPr>
                <w:sz w:val="20"/>
                <w:szCs w:val="20"/>
                <w:lang w:val="en-GB"/>
              </w:rPr>
              <w:t>)</w:t>
            </w:r>
          </w:p>
        </w:tc>
      </w:tr>
    </w:tbl>
    <w:p w:rsidR="00402F9E" w:rsidRDefault="00402F9E">
      <w:pPr>
        <w:snapToGrid w:val="0"/>
        <w:spacing w:before="120" w:afterLines="50" w:after="120"/>
        <w:jc w:val="center"/>
        <w:rPr>
          <w:rFonts w:eastAsia="微软雅黑"/>
          <w:sz w:val="20"/>
          <w:szCs w:val="20"/>
          <w:lang w:val="en-GB"/>
        </w:rPr>
      </w:pPr>
      <w:r>
        <w:rPr>
          <w:rFonts w:eastAsia="微软雅黑"/>
          <w:b/>
          <w:sz w:val="20"/>
          <w:szCs w:val="20"/>
          <w:lang w:val="en-GB"/>
        </w:rPr>
        <w:t>Table 2</w:t>
      </w:r>
      <w:r>
        <w:rPr>
          <w:rFonts w:eastAsia="微软雅黑" w:hint="eastAsia"/>
          <w:sz w:val="20"/>
          <w:szCs w:val="20"/>
          <w:lang w:val="en-GB"/>
        </w:rPr>
        <w:tab/>
      </w:r>
      <w:r>
        <w:rPr>
          <w:rFonts w:eastAsia="微软雅黑"/>
          <w:sz w:val="20"/>
          <w:szCs w:val="20"/>
          <w:lang w:val="en-GB"/>
        </w:rPr>
        <w:t xml:space="preserve">SLS for </w:t>
      </w:r>
      <w:r>
        <w:rPr>
          <w:rFonts w:eastAsia="微软雅黑" w:hint="eastAsia"/>
          <w:sz w:val="20"/>
          <w:szCs w:val="20"/>
          <w:lang w:val="en-GB"/>
        </w:rPr>
        <w:t xml:space="preserve">group based reporting with </w:t>
      </w:r>
      <w:r>
        <w:rPr>
          <w:rFonts w:eastAsia="微软雅黑" w:hint="eastAsia"/>
          <w:b/>
          <w:i/>
          <w:sz w:val="20"/>
          <w:szCs w:val="20"/>
          <w:lang w:val="en-GB"/>
        </w:rPr>
        <w:t xml:space="preserve">M beams per group to be reported and </w:t>
      </w:r>
      <w:r>
        <w:rPr>
          <w:rFonts w:eastAsia="微软雅黑"/>
          <w:b/>
          <w:i/>
          <w:sz w:val="20"/>
          <w:szCs w:val="20"/>
          <w:lang w:val="en-GB"/>
        </w:rPr>
        <w:t>N groups</w:t>
      </w:r>
      <w:r>
        <w:rPr>
          <w:rFonts w:eastAsia="微软雅黑"/>
          <w:sz w:val="20"/>
          <w:szCs w:val="20"/>
          <w:lang w:val="en-GB"/>
        </w:rPr>
        <w:t xml:space="preserve"> in dense urban</w:t>
      </w:r>
    </w:p>
    <w:tbl>
      <w:tblPr>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9"/>
        <w:gridCol w:w="1554"/>
        <w:gridCol w:w="1559"/>
        <w:gridCol w:w="1701"/>
        <w:gridCol w:w="1701"/>
      </w:tblGrid>
      <w:tr w:rsidR="00402F9E">
        <w:trPr>
          <w:jc w:val="center"/>
        </w:trPr>
        <w:tc>
          <w:tcPr>
            <w:tcW w:w="3119" w:type="dxa"/>
          </w:tcPr>
          <w:p w:rsidR="00402F9E" w:rsidRDefault="00402F9E">
            <w:pPr>
              <w:spacing w:beforeLines="50" w:before="120" w:afterLines="50" w:after="120"/>
              <w:jc w:val="center"/>
              <w:textAlignment w:val="center"/>
              <w:rPr>
                <w:sz w:val="20"/>
                <w:szCs w:val="20"/>
                <w:lang w:val="en-GB"/>
              </w:rPr>
            </w:pPr>
            <w:r>
              <w:rPr>
                <w:rFonts w:hint="eastAsia"/>
                <w:sz w:val="20"/>
                <w:szCs w:val="20"/>
                <w:lang w:val="en-GB"/>
              </w:rPr>
              <w:t>U</w:t>
            </w:r>
            <w:r>
              <w:rPr>
                <w:sz w:val="20"/>
                <w:szCs w:val="20"/>
                <w:lang w:val="en-GB"/>
              </w:rPr>
              <w:t>PT (Mbps)</w:t>
            </w:r>
          </w:p>
        </w:tc>
        <w:tc>
          <w:tcPr>
            <w:tcW w:w="1554" w:type="dxa"/>
          </w:tcPr>
          <w:p w:rsidR="00402F9E" w:rsidRDefault="00402F9E">
            <w:pPr>
              <w:spacing w:beforeLines="50" w:before="120" w:afterLines="50" w:after="120"/>
              <w:jc w:val="center"/>
              <w:textAlignment w:val="center"/>
              <w:rPr>
                <w:sz w:val="20"/>
                <w:szCs w:val="20"/>
                <w:lang w:val="en-GB"/>
              </w:rPr>
            </w:pPr>
            <w:r>
              <w:rPr>
                <w:sz w:val="20"/>
                <w:szCs w:val="20"/>
                <w:lang w:val="en-GB"/>
              </w:rPr>
              <w:t xml:space="preserve"> mean</w:t>
            </w:r>
          </w:p>
        </w:tc>
        <w:tc>
          <w:tcPr>
            <w:tcW w:w="1559" w:type="dxa"/>
          </w:tcPr>
          <w:p w:rsidR="00402F9E" w:rsidRDefault="00402F9E">
            <w:pPr>
              <w:spacing w:beforeLines="50" w:before="120" w:afterLines="50" w:after="120"/>
              <w:jc w:val="center"/>
              <w:textAlignment w:val="center"/>
              <w:rPr>
                <w:sz w:val="20"/>
                <w:szCs w:val="20"/>
                <w:lang w:val="en-GB"/>
              </w:rPr>
            </w:pPr>
            <w:r>
              <w:rPr>
                <w:sz w:val="20"/>
                <w:szCs w:val="20"/>
                <w:lang w:val="en-GB"/>
              </w:rPr>
              <w:t>5%-ile</w:t>
            </w:r>
          </w:p>
        </w:tc>
        <w:tc>
          <w:tcPr>
            <w:tcW w:w="1701" w:type="dxa"/>
          </w:tcPr>
          <w:p w:rsidR="00402F9E" w:rsidRDefault="00402F9E">
            <w:pPr>
              <w:spacing w:beforeLines="50" w:before="120" w:afterLines="50" w:after="120"/>
              <w:jc w:val="center"/>
              <w:textAlignment w:val="center"/>
              <w:rPr>
                <w:sz w:val="20"/>
                <w:szCs w:val="20"/>
                <w:lang w:val="en-GB"/>
              </w:rPr>
            </w:pPr>
            <w:r>
              <w:rPr>
                <w:sz w:val="20"/>
                <w:szCs w:val="20"/>
                <w:lang w:val="en-GB"/>
              </w:rPr>
              <w:t>50%-ile</w:t>
            </w:r>
          </w:p>
        </w:tc>
        <w:tc>
          <w:tcPr>
            <w:tcW w:w="1701" w:type="dxa"/>
          </w:tcPr>
          <w:p w:rsidR="00402F9E" w:rsidRDefault="00402F9E">
            <w:pPr>
              <w:spacing w:beforeLines="50" w:before="120" w:afterLines="50" w:after="120"/>
              <w:jc w:val="center"/>
              <w:textAlignment w:val="center"/>
              <w:rPr>
                <w:sz w:val="20"/>
                <w:szCs w:val="20"/>
                <w:lang w:val="en-GB"/>
              </w:rPr>
            </w:pPr>
            <w:r>
              <w:rPr>
                <w:sz w:val="20"/>
                <w:szCs w:val="20"/>
                <w:lang w:val="en-GB"/>
              </w:rPr>
              <w:t>95%-ile</w:t>
            </w:r>
          </w:p>
        </w:tc>
      </w:tr>
      <w:tr w:rsidR="00402F9E">
        <w:trPr>
          <w:jc w:val="center"/>
        </w:trPr>
        <w:tc>
          <w:tcPr>
            <w:tcW w:w="3119" w:type="dxa"/>
          </w:tcPr>
          <w:p w:rsidR="00402F9E" w:rsidRDefault="00402F9E">
            <w:pPr>
              <w:spacing w:beforeLines="50" w:before="120" w:afterLines="50" w:after="120"/>
              <w:jc w:val="center"/>
              <w:textAlignment w:val="center"/>
              <w:rPr>
                <w:sz w:val="20"/>
                <w:szCs w:val="20"/>
                <w:lang w:val="en-GB"/>
              </w:rPr>
            </w:pPr>
            <w:r>
              <w:rPr>
                <w:sz w:val="20"/>
                <w:szCs w:val="20"/>
                <w:lang w:val="en-GB"/>
              </w:rPr>
              <w:t>(</w:t>
            </w:r>
            <w:r>
              <w:rPr>
                <w:rFonts w:hint="eastAsia"/>
                <w:sz w:val="20"/>
                <w:szCs w:val="20"/>
                <w:lang w:val="en-GB"/>
              </w:rPr>
              <w:t>N = 2 group</w:t>
            </w:r>
            <w:r>
              <w:rPr>
                <w:sz w:val="20"/>
                <w:szCs w:val="20"/>
                <w:lang w:val="en-GB"/>
              </w:rPr>
              <w:t xml:space="preserve">, </w:t>
            </w:r>
            <w:r>
              <w:rPr>
                <w:rFonts w:hint="eastAsia"/>
                <w:sz w:val="20"/>
                <w:szCs w:val="20"/>
                <w:lang w:val="en-GB"/>
              </w:rPr>
              <w:t xml:space="preserve">M = </w:t>
            </w:r>
            <w:r>
              <w:rPr>
                <w:sz w:val="20"/>
                <w:szCs w:val="20"/>
                <w:lang w:val="en-GB"/>
              </w:rPr>
              <w:t>1</w:t>
            </w:r>
            <w:r>
              <w:rPr>
                <w:rFonts w:hint="eastAsia"/>
                <w:sz w:val="20"/>
                <w:szCs w:val="20"/>
                <w:lang w:val="en-GB"/>
              </w:rPr>
              <w:t xml:space="preserve"> beam</w:t>
            </w:r>
            <w:r>
              <w:rPr>
                <w:sz w:val="20"/>
                <w:szCs w:val="20"/>
                <w:lang w:val="en-GB"/>
              </w:rPr>
              <w:t>)</w:t>
            </w:r>
          </w:p>
          <w:p w:rsidR="00402F9E" w:rsidRDefault="00402F9E">
            <w:pPr>
              <w:spacing w:beforeLines="50" w:before="120" w:afterLines="50" w:after="120"/>
              <w:jc w:val="center"/>
              <w:textAlignment w:val="center"/>
              <w:rPr>
                <w:sz w:val="20"/>
                <w:szCs w:val="20"/>
                <w:lang w:val="en-GB"/>
              </w:rPr>
            </w:pPr>
            <w:r>
              <w:rPr>
                <w:sz w:val="20"/>
                <w:szCs w:val="20"/>
                <w:lang w:val="en-GB"/>
              </w:rPr>
              <w:t>i.e., Rel-15 group reporting</w:t>
            </w:r>
          </w:p>
        </w:tc>
        <w:tc>
          <w:tcPr>
            <w:tcW w:w="1554" w:type="dxa"/>
          </w:tcPr>
          <w:p w:rsidR="00402F9E" w:rsidRDefault="00402F9E">
            <w:pPr>
              <w:spacing w:beforeLines="50" w:before="120" w:afterLines="50" w:after="120"/>
              <w:jc w:val="center"/>
              <w:textAlignment w:val="center"/>
              <w:rPr>
                <w:sz w:val="20"/>
                <w:szCs w:val="20"/>
                <w:lang w:val="en-GB"/>
              </w:rPr>
            </w:pPr>
            <w:r>
              <w:rPr>
                <w:sz w:val="20"/>
                <w:szCs w:val="20"/>
                <w:lang w:val="en-GB"/>
              </w:rPr>
              <w:t>83.42</w:t>
            </w:r>
          </w:p>
          <w:p w:rsidR="00402F9E" w:rsidRDefault="00402F9E">
            <w:pPr>
              <w:spacing w:beforeLines="50" w:before="120" w:afterLines="50" w:after="12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c>
          <w:tcPr>
            <w:tcW w:w="1559" w:type="dxa"/>
          </w:tcPr>
          <w:p w:rsidR="00402F9E" w:rsidRDefault="00402F9E">
            <w:pPr>
              <w:spacing w:beforeLines="50" w:before="120" w:afterLines="50" w:after="120"/>
              <w:jc w:val="center"/>
              <w:textAlignment w:val="center"/>
              <w:rPr>
                <w:sz w:val="20"/>
                <w:szCs w:val="20"/>
                <w:lang w:val="en-GB"/>
              </w:rPr>
            </w:pPr>
            <w:r>
              <w:rPr>
                <w:sz w:val="20"/>
                <w:szCs w:val="20"/>
                <w:lang w:val="en-GB"/>
              </w:rPr>
              <w:t>13.47</w:t>
            </w:r>
          </w:p>
          <w:p w:rsidR="00402F9E" w:rsidRDefault="00402F9E">
            <w:pPr>
              <w:spacing w:beforeLines="50" w:before="120" w:afterLines="50" w:after="12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c>
          <w:tcPr>
            <w:tcW w:w="1701" w:type="dxa"/>
          </w:tcPr>
          <w:p w:rsidR="00402F9E" w:rsidRDefault="00402F9E">
            <w:pPr>
              <w:spacing w:beforeLines="50" w:before="120" w:afterLines="50" w:after="120"/>
              <w:jc w:val="center"/>
              <w:textAlignment w:val="center"/>
              <w:rPr>
                <w:sz w:val="20"/>
                <w:szCs w:val="20"/>
                <w:lang w:val="en-GB"/>
              </w:rPr>
            </w:pPr>
            <w:r>
              <w:rPr>
                <w:rFonts w:hint="eastAsia"/>
                <w:sz w:val="20"/>
                <w:szCs w:val="20"/>
                <w:lang w:val="en-GB"/>
              </w:rPr>
              <w:t>7</w:t>
            </w:r>
            <w:r>
              <w:rPr>
                <w:sz w:val="20"/>
                <w:szCs w:val="20"/>
                <w:lang w:val="en-GB"/>
              </w:rPr>
              <w:t>7.65</w:t>
            </w:r>
          </w:p>
          <w:p w:rsidR="00402F9E" w:rsidRDefault="00402F9E">
            <w:pPr>
              <w:spacing w:beforeLines="50" w:before="120" w:afterLines="50" w:after="12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c>
          <w:tcPr>
            <w:tcW w:w="1701" w:type="dxa"/>
          </w:tcPr>
          <w:p w:rsidR="00402F9E" w:rsidRDefault="00402F9E">
            <w:pPr>
              <w:spacing w:beforeLines="50" w:before="120" w:afterLines="50" w:after="120"/>
              <w:jc w:val="center"/>
              <w:textAlignment w:val="center"/>
              <w:rPr>
                <w:sz w:val="20"/>
                <w:szCs w:val="20"/>
                <w:lang w:val="en-GB"/>
              </w:rPr>
            </w:pPr>
            <w:r>
              <w:rPr>
                <w:sz w:val="20"/>
                <w:szCs w:val="20"/>
                <w:lang w:val="en-GB"/>
              </w:rPr>
              <w:t>165.66</w:t>
            </w:r>
          </w:p>
          <w:p w:rsidR="00402F9E" w:rsidRDefault="00402F9E">
            <w:pPr>
              <w:spacing w:beforeLines="50" w:before="120" w:afterLines="50" w:after="12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r>
      <w:tr w:rsidR="00402F9E">
        <w:trPr>
          <w:jc w:val="center"/>
        </w:trPr>
        <w:tc>
          <w:tcPr>
            <w:tcW w:w="3119" w:type="dxa"/>
          </w:tcPr>
          <w:p w:rsidR="00402F9E" w:rsidRDefault="00402F9E">
            <w:pPr>
              <w:spacing w:beforeLines="50" w:before="120" w:afterLines="50" w:after="120"/>
              <w:jc w:val="center"/>
              <w:textAlignment w:val="center"/>
              <w:rPr>
                <w:sz w:val="20"/>
                <w:szCs w:val="20"/>
                <w:lang w:val="en-GB"/>
              </w:rPr>
            </w:pPr>
            <w:r>
              <w:rPr>
                <w:sz w:val="20"/>
                <w:szCs w:val="20"/>
                <w:lang w:val="en-GB"/>
              </w:rPr>
              <w:t>(</w:t>
            </w:r>
            <w:r>
              <w:rPr>
                <w:rFonts w:hint="eastAsia"/>
                <w:sz w:val="20"/>
                <w:szCs w:val="20"/>
                <w:lang w:val="en-GB"/>
              </w:rPr>
              <w:t>N = 2 group</w:t>
            </w:r>
            <w:r>
              <w:rPr>
                <w:sz w:val="20"/>
                <w:szCs w:val="20"/>
                <w:lang w:val="en-GB"/>
              </w:rPr>
              <w:t xml:space="preserve">, </w:t>
            </w:r>
            <w:r>
              <w:rPr>
                <w:rFonts w:hint="eastAsia"/>
                <w:sz w:val="20"/>
                <w:szCs w:val="20"/>
                <w:lang w:val="en-GB"/>
              </w:rPr>
              <w:t xml:space="preserve">M = </w:t>
            </w:r>
            <w:r>
              <w:rPr>
                <w:sz w:val="20"/>
                <w:szCs w:val="20"/>
                <w:lang w:val="en-GB"/>
              </w:rPr>
              <w:t>2</w:t>
            </w:r>
            <w:r>
              <w:rPr>
                <w:rFonts w:hint="eastAsia"/>
                <w:sz w:val="20"/>
                <w:szCs w:val="20"/>
                <w:lang w:val="en-GB"/>
              </w:rPr>
              <w:t xml:space="preserve"> beam</w:t>
            </w:r>
            <w:r>
              <w:rPr>
                <w:sz w:val="20"/>
                <w:szCs w:val="20"/>
                <w:lang w:val="en-GB"/>
              </w:rPr>
              <w:t>s)</w:t>
            </w:r>
          </w:p>
        </w:tc>
        <w:tc>
          <w:tcPr>
            <w:tcW w:w="1554" w:type="dxa"/>
          </w:tcPr>
          <w:p w:rsidR="00402F9E" w:rsidRDefault="00402F9E">
            <w:pPr>
              <w:spacing w:beforeLines="50" w:before="120" w:afterLines="50" w:after="120"/>
              <w:jc w:val="center"/>
              <w:textAlignment w:val="center"/>
              <w:rPr>
                <w:sz w:val="20"/>
                <w:szCs w:val="20"/>
                <w:lang w:val="en-GB"/>
              </w:rPr>
            </w:pPr>
            <w:r>
              <w:rPr>
                <w:sz w:val="20"/>
                <w:szCs w:val="20"/>
                <w:lang w:val="en-GB"/>
              </w:rPr>
              <w:t>86.19</w:t>
            </w:r>
          </w:p>
          <w:p w:rsidR="00402F9E" w:rsidRDefault="00402F9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+3</w:t>
            </w:r>
            <w:r>
              <w:rPr>
                <w:rFonts w:hint="eastAsia"/>
                <w:color w:val="FF0000"/>
                <w:sz w:val="20"/>
                <w:szCs w:val="20"/>
                <w:lang w:val="en-GB"/>
              </w:rPr>
              <w:t>.</w:t>
            </w:r>
            <w:r>
              <w:rPr>
                <w:color w:val="FF0000"/>
                <w:sz w:val="20"/>
                <w:szCs w:val="20"/>
                <w:lang w:val="en-GB"/>
              </w:rPr>
              <w:t>3%↑</w:t>
            </w:r>
            <w:r>
              <w:rPr>
                <w:sz w:val="20"/>
                <w:szCs w:val="20"/>
                <w:lang w:val="en-GB"/>
              </w:rPr>
              <w:t>)</w:t>
            </w:r>
          </w:p>
        </w:tc>
        <w:tc>
          <w:tcPr>
            <w:tcW w:w="1559" w:type="dxa"/>
          </w:tcPr>
          <w:p w:rsidR="00402F9E" w:rsidRDefault="00402F9E">
            <w:pPr>
              <w:spacing w:beforeLines="50" w:before="120" w:afterLines="50" w:after="120"/>
              <w:jc w:val="center"/>
              <w:textAlignment w:val="center"/>
              <w:rPr>
                <w:sz w:val="20"/>
                <w:szCs w:val="20"/>
                <w:lang w:val="en-GB"/>
              </w:rPr>
            </w:pPr>
            <w:r>
              <w:rPr>
                <w:sz w:val="20"/>
                <w:szCs w:val="20"/>
                <w:lang w:val="en-GB"/>
              </w:rPr>
              <w:t>15.15</w:t>
            </w:r>
          </w:p>
          <w:p w:rsidR="00402F9E" w:rsidRDefault="00402F9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+12.5%↑</w:t>
            </w:r>
            <w:r>
              <w:rPr>
                <w:sz w:val="20"/>
                <w:szCs w:val="20"/>
                <w:lang w:val="en-GB"/>
              </w:rPr>
              <w:t>)</w:t>
            </w:r>
          </w:p>
        </w:tc>
        <w:tc>
          <w:tcPr>
            <w:tcW w:w="1701" w:type="dxa"/>
          </w:tcPr>
          <w:p w:rsidR="00402F9E" w:rsidRDefault="00402F9E">
            <w:pPr>
              <w:spacing w:beforeLines="50" w:before="120" w:afterLines="50" w:after="120"/>
              <w:jc w:val="center"/>
              <w:textAlignment w:val="center"/>
              <w:rPr>
                <w:sz w:val="20"/>
                <w:szCs w:val="20"/>
                <w:lang w:val="en-GB"/>
              </w:rPr>
            </w:pPr>
            <w:r>
              <w:rPr>
                <w:sz w:val="20"/>
                <w:szCs w:val="20"/>
                <w:lang w:val="en-GB"/>
              </w:rPr>
              <w:t>80.86</w:t>
            </w:r>
          </w:p>
          <w:p w:rsidR="00402F9E" w:rsidRDefault="00402F9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+4.1%↑</w:t>
            </w:r>
            <w:r>
              <w:rPr>
                <w:sz w:val="20"/>
                <w:szCs w:val="20"/>
                <w:lang w:val="en-GB"/>
              </w:rPr>
              <w:t>)</w:t>
            </w:r>
          </w:p>
        </w:tc>
        <w:tc>
          <w:tcPr>
            <w:tcW w:w="1701" w:type="dxa"/>
          </w:tcPr>
          <w:p w:rsidR="00402F9E" w:rsidRDefault="00402F9E">
            <w:pPr>
              <w:spacing w:beforeLines="50" w:before="120" w:afterLines="50" w:after="120"/>
              <w:jc w:val="center"/>
              <w:textAlignment w:val="center"/>
              <w:rPr>
                <w:sz w:val="20"/>
                <w:szCs w:val="20"/>
                <w:lang w:val="en-GB"/>
              </w:rPr>
            </w:pPr>
            <w:r>
              <w:rPr>
                <w:sz w:val="20"/>
                <w:szCs w:val="20"/>
                <w:lang w:val="en-GB"/>
              </w:rPr>
              <w:t>170.71</w:t>
            </w:r>
          </w:p>
          <w:p w:rsidR="00402F9E" w:rsidRDefault="00402F9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+3.0%↑</w:t>
            </w:r>
            <w:r>
              <w:rPr>
                <w:sz w:val="20"/>
                <w:szCs w:val="20"/>
                <w:lang w:val="en-GB"/>
              </w:rPr>
              <w:t>)</w:t>
            </w:r>
          </w:p>
        </w:tc>
      </w:tr>
      <w:tr w:rsidR="00402F9E">
        <w:trPr>
          <w:jc w:val="center"/>
        </w:trPr>
        <w:tc>
          <w:tcPr>
            <w:tcW w:w="3119" w:type="dxa"/>
          </w:tcPr>
          <w:p w:rsidR="00402F9E" w:rsidRDefault="00402F9E">
            <w:pPr>
              <w:spacing w:beforeLines="50" w:before="120" w:afterLines="50" w:after="120"/>
              <w:jc w:val="center"/>
              <w:textAlignment w:val="center"/>
              <w:rPr>
                <w:sz w:val="20"/>
                <w:szCs w:val="20"/>
                <w:lang w:val="en-GB"/>
              </w:rPr>
            </w:pPr>
            <w:r>
              <w:rPr>
                <w:sz w:val="20"/>
                <w:szCs w:val="20"/>
                <w:lang w:val="en-GB"/>
              </w:rPr>
              <w:t>(</w:t>
            </w:r>
            <w:r>
              <w:rPr>
                <w:rFonts w:hint="eastAsia"/>
                <w:sz w:val="20"/>
                <w:szCs w:val="20"/>
                <w:lang w:val="en-GB"/>
              </w:rPr>
              <w:t>N = 2 group</w:t>
            </w:r>
            <w:r>
              <w:rPr>
                <w:sz w:val="20"/>
                <w:szCs w:val="20"/>
                <w:lang w:val="en-GB"/>
              </w:rPr>
              <w:t xml:space="preserve">, </w:t>
            </w:r>
            <w:r>
              <w:rPr>
                <w:rFonts w:hint="eastAsia"/>
                <w:sz w:val="20"/>
                <w:szCs w:val="20"/>
                <w:lang w:val="en-GB"/>
              </w:rPr>
              <w:t xml:space="preserve">M = </w:t>
            </w:r>
            <w:r>
              <w:rPr>
                <w:sz w:val="20"/>
                <w:szCs w:val="20"/>
                <w:lang w:val="en-GB"/>
              </w:rPr>
              <w:t>4</w:t>
            </w:r>
            <w:r>
              <w:rPr>
                <w:rFonts w:hint="eastAsia"/>
                <w:sz w:val="20"/>
                <w:szCs w:val="20"/>
                <w:lang w:val="en-GB"/>
              </w:rPr>
              <w:t xml:space="preserve"> beam</w:t>
            </w:r>
            <w:r>
              <w:rPr>
                <w:sz w:val="20"/>
                <w:szCs w:val="20"/>
                <w:lang w:val="en-GB"/>
              </w:rPr>
              <w:t>s)</w:t>
            </w:r>
          </w:p>
        </w:tc>
        <w:tc>
          <w:tcPr>
            <w:tcW w:w="1554" w:type="dxa"/>
          </w:tcPr>
          <w:p w:rsidR="00402F9E" w:rsidRDefault="00402F9E">
            <w:pPr>
              <w:spacing w:beforeLines="50" w:before="120" w:afterLines="50" w:after="120"/>
              <w:jc w:val="center"/>
              <w:textAlignment w:val="center"/>
              <w:rPr>
                <w:sz w:val="20"/>
                <w:szCs w:val="20"/>
                <w:lang w:val="en-GB"/>
              </w:rPr>
            </w:pPr>
            <w:r>
              <w:rPr>
                <w:sz w:val="20"/>
                <w:szCs w:val="20"/>
                <w:lang w:val="en-GB"/>
              </w:rPr>
              <w:t>88.09</w:t>
            </w:r>
          </w:p>
          <w:p w:rsidR="00402F9E" w:rsidRDefault="00402F9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+5</w:t>
            </w:r>
            <w:r>
              <w:rPr>
                <w:rFonts w:hint="eastAsia"/>
                <w:color w:val="FF0000"/>
                <w:sz w:val="20"/>
                <w:szCs w:val="20"/>
                <w:lang w:val="en-GB"/>
              </w:rPr>
              <w:t>.</w:t>
            </w:r>
            <w:r>
              <w:rPr>
                <w:color w:val="FF0000"/>
                <w:sz w:val="20"/>
                <w:szCs w:val="20"/>
                <w:lang w:val="en-GB"/>
              </w:rPr>
              <w:t>6%↑</w:t>
            </w:r>
            <w:r>
              <w:rPr>
                <w:sz w:val="20"/>
                <w:szCs w:val="20"/>
                <w:lang w:val="en-GB"/>
              </w:rPr>
              <w:t>)</w:t>
            </w:r>
          </w:p>
        </w:tc>
        <w:tc>
          <w:tcPr>
            <w:tcW w:w="1559" w:type="dxa"/>
          </w:tcPr>
          <w:p w:rsidR="00402F9E" w:rsidRDefault="00402F9E">
            <w:pPr>
              <w:spacing w:beforeLines="50" w:before="120" w:afterLines="50" w:after="120"/>
              <w:jc w:val="center"/>
              <w:textAlignment w:val="center"/>
              <w:rPr>
                <w:sz w:val="20"/>
                <w:szCs w:val="20"/>
                <w:lang w:val="en-GB"/>
              </w:rPr>
            </w:pPr>
            <w:r>
              <w:rPr>
                <w:sz w:val="20"/>
                <w:szCs w:val="20"/>
                <w:lang w:val="en-GB"/>
              </w:rPr>
              <w:t>18.42</w:t>
            </w:r>
          </w:p>
          <w:p w:rsidR="00402F9E" w:rsidRDefault="00402F9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+36.8%↑</w:t>
            </w:r>
            <w:r>
              <w:rPr>
                <w:sz w:val="20"/>
                <w:szCs w:val="20"/>
                <w:lang w:val="en-GB"/>
              </w:rPr>
              <w:t>)</w:t>
            </w:r>
          </w:p>
        </w:tc>
        <w:tc>
          <w:tcPr>
            <w:tcW w:w="1701" w:type="dxa"/>
          </w:tcPr>
          <w:p w:rsidR="00402F9E" w:rsidRDefault="00402F9E">
            <w:pPr>
              <w:spacing w:beforeLines="50" w:before="120" w:afterLines="50" w:after="120"/>
              <w:jc w:val="center"/>
              <w:textAlignment w:val="center"/>
              <w:rPr>
                <w:sz w:val="20"/>
                <w:szCs w:val="20"/>
                <w:lang w:val="en-GB"/>
              </w:rPr>
            </w:pPr>
            <w:r>
              <w:rPr>
                <w:sz w:val="20"/>
                <w:szCs w:val="20"/>
                <w:lang w:val="en-GB"/>
              </w:rPr>
              <w:t>81.40</w:t>
            </w:r>
          </w:p>
          <w:p w:rsidR="00402F9E" w:rsidRDefault="00402F9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+4.8%↑</w:t>
            </w:r>
            <w:r>
              <w:rPr>
                <w:sz w:val="20"/>
                <w:szCs w:val="20"/>
                <w:lang w:val="en-GB"/>
              </w:rPr>
              <w:t>)</w:t>
            </w:r>
          </w:p>
        </w:tc>
        <w:tc>
          <w:tcPr>
            <w:tcW w:w="1701" w:type="dxa"/>
          </w:tcPr>
          <w:p w:rsidR="00402F9E" w:rsidRDefault="00402F9E">
            <w:pPr>
              <w:spacing w:beforeLines="50" w:before="120" w:afterLines="50" w:after="120"/>
              <w:jc w:val="center"/>
              <w:textAlignment w:val="center"/>
              <w:rPr>
                <w:sz w:val="20"/>
                <w:szCs w:val="20"/>
                <w:lang w:val="en-GB"/>
              </w:rPr>
            </w:pPr>
            <w:r>
              <w:rPr>
                <w:sz w:val="20"/>
                <w:szCs w:val="20"/>
                <w:lang w:val="en-GB"/>
              </w:rPr>
              <w:t>170.07</w:t>
            </w:r>
          </w:p>
          <w:p w:rsidR="00402F9E" w:rsidRDefault="00402F9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+2.7%↑</w:t>
            </w:r>
            <w:r>
              <w:rPr>
                <w:sz w:val="20"/>
                <w:szCs w:val="20"/>
                <w:lang w:val="en-GB"/>
              </w:rPr>
              <w:t>)</w:t>
            </w:r>
          </w:p>
        </w:tc>
      </w:tr>
    </w:tbl>
    <w:p w:rsidR="00402F9E" w:rsidRDefault="00402F9E">
      <w:pPr>
        <w:overflowPunct w:val="0"/>
        <w:autoSpaceDE w:val="0"/>
        <w:autoSpaceDN w:val="0"/>
        <w:adjustRightInd w:val="0"/>
        <w:spacing w:beforeLines="50" w:before="120" w:after="120" w:line="300" w:lineRule="auto"/>
        <w:jc w:val="both"/>
        <w:textAlignment w:val="baseline"/>
        <w:rPr>
          <w:rFonts w:eastAsia="微软雅黑"/>
          <w:sz w:val="20"/>
          <w:szCs w:val="20"/>
        </w:rPr>
      </w:pPr>
      <w:r>
        <w:rPr>
          <w:rFonts w:eastAsia="微软雅黑" w:hint="eastAsia"/>
          <w:sz w:val="20"/>
          <w:szCs w:val="20"/>
        </w:rPr>
        <w:t>B</w:t>
      </w:r>
      <w:r>
        <w:rPr>
          <w:rFonts w:eastAsia="微软雅黑"/>
          <w:sz w:val="20"/>
          <w:szCs w:val="20"/>
        </w:rPr>
        <w:t>esides, up to 2 groups (e.g., UE panels) in Rel-15 group reporting are also unsuitable for the enhanced UE in Rel-16. Three or four UE panels may be applied to a handheld device, e.g., mobile phone. Regarding EVM for multi-beam operation in Item-1 of this FeMIMO, evaluation assumption of 3 UE panels (left, right, and back) has also been agreed for subsequent evaluation. That means that the number of groups in the group based reporting should also be enhanced, e.g., up to 4 groups.</w:t>
      </w:r>
    </w:p>
    <w:p w:rsidR="00402F9E" w:rsidRDefault="00402F9E">
      <w:pPr>
        <w:spacing w:beforeLines="50" w:before="120" w:afterLines="50" w:after="120"/>
        <w:jc w:val="both"/>
        <w:rPr>
          <w:b/>
          <w:i/>
          <w:sz w:val="20"/>
          <w:szCs w:val="20"/>
        </w:rPr>
      </w:pPr>
      <w:r>
        <w:rPr>
          <w:b/>
          <w:i/>
          <w:sz w:val="20"/>
          <w:szCs w:val="20"/>
        </w:rPr>
        <w:t xml:space="preserve">Observation 3: </w:t>
      </w:r>
      <w:r>
        <w:rPr>
          <w:i/>
          <w:sz w:val="20"/>
          <w:szCs w:val="20"/>
        </w:rPr>
        <w:t>From the evaluation results for group based reporting, it can be observed that:</w:t>
      </w:r>
    </w:p>
    <w:p w:rsidR="00402F9E" w:rsidRDefault="00402F9E" w:rsidP="004C3740">
      <w:pPr>
        <w:numPr>
          <w:ilvl w:val="1"/>
          <w:numId w:val="8"/>
        </w:numPr>
        <w:snapToGrid w:val="0"/>
        <w:spacing w:before="50" w:after="120" w:line="300" w:lineRule="auto"/>
        <w:ind w:left="709" w:hanging="289"/>
        <w:jc w:val="both"/>
        <w:rPr>
          <w:i/>
          <w:sz w:val="20"/>
          <w:szCs w:val="20"/>
        </w:rPr>
      </w:pPr>
      <w:r>
        <w:rPr>
          <w:i/>
          <w:sz w:val="20"/>
          <w:szCs w:val="20"/>
        </w:rPr>
        <w:t>Increase number of beams per group can bring significantly higher performance gain to combat blockage and UE mobility, especially for cell-edge UE in dense urban, through improving system flexibility with more candidate beams.</w:t>
      </w:r>
    </w:p>
    <w:p w:rsidR="00402F9E" w:rsidRDefault="00402F9E" w:rsidP="00CD6054">
      <w:pPr>
        <w:numPr>
          <w:ilvl w:val="1"/>
          <w:numId w:val="8"/>
        </w:numPr>
        <w:snapToGrid w:val="0"/>
        <w:spacing w:before="50" w:after="120" w:line="300" w:lineRule="auto"/>
        <w:ind w:left="709" w:hanging="289"/>
        <w:jc w:val="both"/>
        <w:rPr>
          <w:i/>
          <w:sz w:val="20"/>
          <w:szCs w:val="20"/>
        </w:rPr>
      </w:pPr>
      <w:r>
        <w:rPr>
          <w:i/>
          <w:sz w:val="20"/>
          <w:szCs w:val="20"/>
        </w:rPr>
        <w:t>Increase number of groups can be more suitable for advanced UE with 3, 4 or more panels.</w:t>
      </w:r>
    </w:p>
    <w:p w:rsidR="00402F9E" w:rsidRDefault="00402F9E">
      <w:pPr>
        <w:spacing w:beforeLines="100" w:before="240" w:after="120" w:line="300" w:lineRule="auto"/>
        <w:jc w:val="both"/>
        <w:rPr>
          <w:i/>
          <w:sz w:val="20"/>
          <w:szCs w:val="20"/>
        </w:rPr>
      </w:pPr>
      <w:r>
        <w:rPr>
          <w:b/>
          <w:i/>
          <w:sz w:val="20"/>
          <w:szCs w:val="20"/>
        </w:rPr>
        <w:lastRenderedPageBreak/>
        <w:t xml:space="preserve">Proposal 2: </w:t>
      </w:r>
      <w:r>
        <w:rPr>
          <w:rFonts w:hint="eastAsia"/>
          <w:i/>
          <w:sz w:val="20"/>
          <w:szCs w:val="20"/>
        </w:rPr>
        <w:t xml:space="preserve"> </w:t>
      </w:r>
      <w:r>
        <w:rPr>
          <w:i/>
          <w:sz w:val="20"/>
          <w:szCs w:val="20"/>
        </w:rPr>
        <w:t>Extension of Rel-15 group based beam reporting should be considered to support more Tx beams and/or more groups to be reported in Rel-17 NR-FeMIMO.</w:t>
      </w:r>
    </w:p>
    <w:p w:rsidR="00402F9E" w:rsidRDefault="00402F9E">
      <w:pPr>
        <w:numPr>
          <w:ilvl w:val="1"/>
          <w:numId w:val="8"/>
        </w:numPr>
        <w:snapToGrid w:val="0"/>
        <w:spacing w:before="120" w:after="120" w:line="300" w:lineRule="auto"/>
        <w:ind w:left="709" w:hanging="289"/>
        <w:jc w:val="both"/>
        <w:rPr>
          <w:rFonts w:eastAsia="微软雅黑"/>
          <w:i/>
          <w:sz w:val="20"/>
          <w:szCs w:val="20"/>
        </w:rPr>
      </w:pPr>
      <w:r>
        <w:rPr>
          <w:rFonts w:eastAsia="微软雅黑"/>
          <w:i/>
          <w:sz w:val="20"/>
          <w:szCs w:val="20"/>
          <w:lang w:val="en-GB"/>
        </w:rPr>
        <w:t xml:space="preserve">Identify usages of Alt-1 (beam group based reporting) and Alt-2 (antenna group based reporting) in multi-panel and multi-TRP case, e.g., sDCI/mDCI, L1-RSRP/L1-SINR </w:t>
      </w:r>
      <w:r>
        <w:rPr>
          <w:i/>
          <w:sz w:val="20"/>
          <w:szCs w:val="20"/>
        </w:rPr>
        <w:t>reporting</w:t>
      </w:r>
      <w:r>
        <w:rPr>
          <w:rFonts w:eastAsia="微软雅黑"/>
          <w:i/>
          <w:sz w:val="20"/>
          <w:szCs w:val="20"/>
          <w:lang w:val="en-GB"/>
        </w:rPr>
        <w:t>.</w:t>
      </w:r>
      <w:r>
        <w:rPr>
          <w:rFonts w:eastAsia="微软雅黑" w:hint="eastAsia"/>
          <w:i/>
          <w:sz w:val="20"/>
          <w:szCs w:val="20"/>
        </w:rPr>
        <w:t xml:space="preserve"> </w:t>
      </w:r>
    </w:p>
    <w:p w:rsidR="00402F9E" w:rsidRDefault="00402F9E">
      <w:pPr>
        <w:numPr>
          <w:ilvl w:val="0"/>
          <w:numId w:val="3"/>
        </w:numPr>
        <w:tabs>
          <w:tab w:val="clear" w:pos="432"/>
        </w:tabs>
        <w:snapToGrid w:val="0"/>
        <w:spacing w:before="240" w:afterLines="50" w:after="120"/>
        <w:ind w:left="425" w:hanging="425"/>
        <w:jc w:val="both"/>
        <w:outlineLvl w:val="0"/>
        <w:rPr>
          <w:b/>
          <w:sz w:val="28"/>
          <w:szCs w:val="28"/>
        </w:rPr>
      </w:pPr>
      <w:r>
        <w:rPr>
          <w:b/>
          <w:sz w:val="28"/>
          <w:szCs w:val="28"/>
        </w:rPr>
        <w:t xml:space="preserve">Enhancement(s) on </w:t>
      </w:r>
      <w:r>
        <w:rPr>
          <w:rFonts w:eastAsia="黑体"/>
          <w:b/>
          <w:sz w:val="28"/>
          <w:szCs w:val="28"/>
        </w:rPr>
        <w:t>simultaneous transmission with multi-panel reception</w:t>
      </w:r>
    </w:p>
    <w:p w:rsidR="00402F9E" w:rsidRDefault="00402F9E" w:rsidP="004C3740">
      <w:pPr>
        <w:overflowPunct w:val="0"/>
        <w:autoSpaceDE w:val="0"/>
        <w:autoSpaceDN w:val="0"/>
        <w:adjustRightInd w:val="0"/>
        <w:spacing w:beforeLines="50" w:before="120" w:after="120" w:line="300" w:lineRule="auto"/>
        <w:jc w:val="both"/>
        <w:textAlignment w:val="baseline"/>
        <w:rPr>
          <w:sz w:val="20"/>
          <w:szCs w:val="20"/>
        </w:rPr>
      </w:pPr>
      <w:r>
        <w:rPr>
          <w:sz w:val="20"/>
          <w:szCs w:val="20"/>
        </w:rPr>
        <w:t xml:space="preserve">In this section, the enhancement(s) on simultaneous transmission with multi-panel reception, including antenna group/panel </w:t>
      </w:r>
      <w:r w:rsidRPr="004C3740">
        <w:rPr>
          <w:rFonts w:eastAsia="微软雅黑"/>
          <w:sz w:val="20"/>
          <w:szCs w:val="20"/>
        </w:rPr>
        <w:t>indication</w:t>
      </w:r>
      <w:r>
        <w:rPr>
          <w:sz w:val="20"/>
          <w:szCs w:val="20"/>
        </w:rPr>
        <w:t xml:space="preserve"> for DL transmission and simultaneous transmission of different DL channel(s) and RS(s), are discussed.</w:t>
      </w:r>
    </w:p>
    <w:p w:rsidR="00402F9E" w:rsidRDefault="00402F9E">
      <w:pPr>
        <w:numPr>
          <w:ilvl w:val="1"/>
          <w:numId w:val="3"/>
        </w:numPr>
        <w:tabs>
          <w:tab w:val="clear" w:pos="576"/>
        </w:tabs>
        <w:snapToGrid w:val="0"/>
        <w:spacing w:before="240" w:afterLines="50" w:after="120"/>
        <w:ind w:left="567" w:hanging="567"/>
        <w:jc w:val="both"/>
        <w:outlineLvl w:val="1"/>
        <w:rPr>
          <w:b/>
          <w:sz w:val="28"/>
          <w:szCs w:val="20"/>
        </w:rPr>
      </w:pPr>
      <w:r>
        <w:rPr>
          <w:b/>
          <w:sz w:val="28"/>
          <w:szCs w:val="20"/>
        </w:rPr>
        <w:t>Antenna group</w:t>
      </w:r>
      <w:r>
        <w:rPr>
          <w:rFonts w:hint="eastAsia"/>
          <w:b/>
          <w:sz w:val="28"/>
          <w:szCs w:val="20"/>
        </w:rPr>
        <w:t>/</w:t>
      </w:r>
      <w:r>
        <w:rPr>
          <w:b/>
          <w:sz w:val="28"/>
          <w:szCs w:val="20"/>
        </w:rPr>
        <w:t>panel indication for DL transmission</w:t>
      </w:r>
    </w:p>
    <w:p w:rsidR="00402F9E" w:rsidRDefault="00402F9E" w:rsidP="004C3740">
      <w:pPr>
        <w:overflowPunct w:val="0"/>
        <w:autoSpaceDE w:val="0"/>
        <w:autoSpaceDN w:val="0"/>
        <w:adjustRightInd w:val="0"/>
        <w:spacing w:beforeLines="50" w:before="120" w:after="120" w:line="300" w:lineRule="auto"/>
        <w:jc w:val="both"/>
        <w:textAlignment w:val="baseline"/>
        <w:rPr>
          <w:rFonts w:eastAsia="微软雅黑"/>
          <w:sz w:val="20"/>
          <w:szCs w:val="20"/>
        </w:rPr>
      </w:pPr>
      <w:r>
        <w:rPr>
          <w:rFonts w:eastAsia="微软雅黑"/>
          <w:sz w:val="20"/>
          <w:szCs w:val="20"/>
        </w:rPr>
        <w:t>In order to achieve an effective multi-panel operation, the enhancements on associating the DL transmission with antenna group(s) should be considered. One Tx beam may be received by different UE antenna group(s) with corresponding UE Rx beams, and consequently there may be some ambiguities between gNB and UE sides about which UE antenna group(s) are used when only the TCI state (i.e., DL Tx beam) is indicated for a DL transmission. Subsequently, considering that different DL channel(s) or RS(s) with different antenna group(s) may be received simultaneously, associating the DL transmission with the antenna group(s) is beneficial for specifying whether/when the different DL channel(s) and RS(s) can be transmitted simultaneously.</w:t>
      </w:r>
    </w:p>
    <w:p w:rsidR="00402F9E" w:rsidRDefault="00402F9E" w:rsidP="004C3740">
      <w:pPr>
        <w:numPr>
          <w:ilvl w:val="0"/>
          <w:numId w:val="9"/>
        </w:numPr>
        <w:spacing w:afterLines="50" w:after="120" w:line="300" w:lineRule="auto"/>
        <w:jc w:val="both"/>
        <w:rPr>
          <w:sz w:val="20"/>
          <w:szCs w:val="20"/>
        </w:rPr>
      </w:pPr>
      <w:r>
        <w:rPr>
          <w:sz w:val="20"/>
          <w:szCs w:val="20"/>
        </w:rPr>
        <w:t xml:space="preserve">Note that the DL channel(s) and RS(s) with different spatial QCL parameters and same antenna group may NOT be received simultaneously. </w:t>
      </w:r>
    </w:p>
    <w:p w:rsidR="00402F9E" w:rsidRDefault="00402F9E" w:rsidP="004C3740">
      <w:pPr>
        <w:numPr>
          <w:ilvl w:val="0"/>
          <w:numId w:val="9"/>
        </w:numPr>
        <w:spacing w:afterLines="50" w:after="120" w:line="300" w:lineRule="auto"/>
        <w:jc w:val="both"/>
        <w:rPr>
          <w:sz w:val="20"/>
          <w:szCs w:val="20"/>
        </w:rPr>
      </w:pPr>
      <w:r>
        <w:rPr>
          <w:sz w:val="20"/>
          <w:szCs w:val="20"/>
        </w:rPr>
        <w:t xml:space="preserve">Note that the DL channel(s) and RS(s) with different spatial QCL parameters and different antenna groups may be received simultaneously. </w:t>
      </w:r>
    </w:p>
    <w:p w:rsidR="00402F9E" w:rsidRDefault="00402F9E" w:rsidP="004C3740">
      <w:pPr>
        <w:snapToGrid w:val="0"/>
        <w:spacing w:before="120" w:afterLines="50" w:after="120" w:line="300" w:lineRule="auto"/>
        <w:jc w:val="both"/>
        <w:rPr>
          <w:rFonts w:eastAsia="微软雅黑" w:hint="eastAsia"/>
          <w:sz w:val="20"/>
          <w:szCs w:val="20"/>
        </w:rPr>
      </w:pPr>
      <w:r>
        <w:rPr>
          <w:rFonts w:eastAsia="微软雅黑"/>
          <w:sz w:val="20"/>
          <w:szCs w:val="20"/>
        </w:rPr>
        <w:t>Regarding the antenna group/panel indication for DL transmission, the spatial QCL parameter in the TCI state can be further configured with an antenna group/panel ID. When the TCI state is applied to a DL transmission, the Rx spatial domain filter of receiving the DL transmission should be generated by the UE Rx panel indicated by the antenna group ID.</w:t>
      </w:r>
    </w:p>
    <w:p w:rsidR="00402F9E" w:rsidRDefault="00402F9E" w:rsidP="004C3740">
      <w:pPr>
        <w:snapToGrid w:val="0"/>
        <w:spacing w:before="120" w:afterLines="50" w:after="120" w:line="300" w:lineRule="auto"/>
        <w:jc w:val="both"/>
        <w:rPr>
          <w:rFonts w:eastAsia="微软雅黑"/>
          <w:sz w:val="20"/>
          <w:szCs w:val="20"/>
        </w:rPr>
      </w:pPr>
      <w:r>
        <w:rPr>
          <w:rFonts w:eastAsia="微软雅黑"/>
          <w:sz w:val="20"/>
          <w:szCs w:val="20"/>
        </w:rPr>
        <w:t xml:space="preserve">Alternatively, for non-ideal backhaul or multi-PDCCH/DCI transmission, dynamic beam indication for transmission/reception sharing the same antenna group among multiple TRPs is very difficult considering the constraint of simultaneous transmission. Consequently, when multiple CORESET group IDs are configured in a UE, the different CORESET group(s) and the associated transmission resource(s), e.g., the scheduled PDSCH and AP-CSI-RS, can be associated with respective antenna group(s), and the subsequent beam management for a CORESET group is only performed based on its associated antenna groups until re-associating. </w:t>
      </w:r>
    </w:p>
    <w:p w:rsidR="00402F9E" w:rsidRDefault="00402F9E">
      <w:pPr>
        <w:spacing w:before="120" w:after="120" w:line="271" w:lineRule="auto"/>
        <w:ind w:right="11"/>
        <w:jc w:val="both"/>
        <w:rPr>
          <w:i/>
          <w:sz w:val="20"/>
          <w:szCs w:val="20"/>
        </w:rPr>
      </w:pPr>
      <w:r>
        <w:rPr>
          <w:b/>
          <w:i/>
          <w:sz w:val="20"/>
          <w:szCs w:val="20"/>
        </w:rPr>
        <w:t xml:space="preserve">Proposal 3: </w:t>
      </w:r>
      <w:r>
        <w:rPr>
          <w:rFonts w:hint="eastAsia"/>
          <w:i/>
          <w:sz w:val="20"/>
          <w:szCs w:val="20"/>
        </w:rPr>
        <w:t xml:space="preserve"> In</w:t>
      </w:r>
      <w:r>
        <w:rPr>
          <w:i/>
          <w:sz w:val="20"/>
          <w:szCs w:val="20"/>
        </w:rPr>
        <w:t xml:space="preserve"> multi-panel reception</w:t>
      </w:r>
      <w:r>
        <w:rPr>
          <w:rFonts w:hint="eastAsia"/>
          <w:i/>
          <w:sz w:val="20"/>
          <w:szCs w:val="20"/>
        </w:rPr>
        <w:t xml:space="preserve">, </w:t>
      </w:r>
      <w:r>
        <w:rPr>
          <w:i/>
          <w:sz w:val="20"/>
          <w:szCs w:val="20"/>
        </w:rPr>
        <w:t>DL channel(s) and RS(s) can be associated with the information about antenna group(s).</w:t>
      </w:r>
    </w:p>
    <w:p w:rsidR="00402F9E" w:rsidRDefault="00402F9E">
      <w:pPr>
        <w:numPr>
          <w:ilvl w:val="0"/>
          <w:numId w:val="8"/>
        </w:numPr>
        <w:spacing w:before="120" w:after="120" w:line="271" w:lineRule="auto"/>
        <w:ind w:right="11"/>
        <w:jc w:val="both"/>
        <w:rPr>
          <w:rFonts w:eastAsia="微软雅黑"/>
          <w:i/>
          <w:sz w:val="20"/>
          <w:szCs w:val="20"/>
        </w:rPr>
      </w:pPr>
      <w:r>
        <w:rPr>
          <w:rFonts w:eastAsia="微软雅黑"/>
          <w:i/>
          <w:sz w:val="20"/>
          <w:szCs w:val="20"/>
        </w:rPr>
        <w:t>Study mechanism(s), e.g., associating CORESET group(s) or TCI state(s) with antenna group(s).</w:t>
      </w:r>
    </w:p>
    <w:p w:rsidR="00402F9E" w:rsidRDefault="00402F9E">
      <w:pPr>
        <w:numPr>
          <w:ilvl w:val="1"/>
          <w:numId w:val="3"/>
        </w:numPr>
        <w:snapToGrid w:val="0"/>
        <w:spacing w:before="240" w:afterLines="50" w:after="120"/>
        <w:jc w:val="both"/>
        <w:outlineLvl w:val="1"/>
        <w:rPr>
          <w:rFonts w:hint="eastAsia"/>
          <w:b/>
          <w:sz w:val="28"/>
          <w:szCs w:val="20"/>
        </w:rPr>
      </w:pPr>
      <w:r>
        <w:rPr>
          <w:b/>
          <w:sz w:val="28"/>
          <w:szCs w:val="20"/>
        </w:rPr>
        <w:t>Simultaneous transmission of different DL channel(s) and RS(s)</w:t>
      </w:r>
    </w:p>
    <w:p w:rsidR="00402F9E" w:rsidRDefault="00402F9E" w:rsidP="004C3740">
      <w:pPr>
        <w:snapToGrid w:val="0"/>
        <w:spacing w:before="120" w:afterLines="50" w:after="120" w:line="300" w:lineRule="auto"/>
        <w:jc w:val="both"/>
        <w:rPr>
          <w:rFonts w:eastAsia="微软雅黑"/>
          <w:sz w:val="20"/>
          <w:szCs w:val="20"/>
        </w:rPr>
      </w:pPr>
      <w:r>
        <w:rPr>
          <w:rFonts w:eastAsia="微软雅黑" w:hint="eastAsia"/>
          <w:sz w:val="20"/>
          <w:szCs w:val="20"/>
        </w:rPr>
        <w:t>In NR Rel-1</w:t>
      </w:r>
      <w:r>
        <w:rPr>
          <w:rFonts w:eastAsia="微软雅黑"/>
          <w:sz w:val="20"/>
          <w:szCs w:val="20"/>
        </w:rPr>
        <w:t>6</w:t>
      </w:r>
      <w:r>
        <w:rPr>
          <w:rFonts w:eastAsia="微软雅黑" w:hint="eastAsia"/>
          <w:sz w:val="20"/>
          <w:szCs w:val="20"/>
        </w:rPr>
        <w:t xml:space="preserve">, </w:t>
      </w:r>
      <w:r>
        <w:rPr>
          <w:rFonts w:eastAsia="微软雅黑"/>
          <w:sz w:val="20"/>
          <w:szCs w:val="20"/>
        </w:rPr>
        <w:t xml:space="preserve">2 Tx-beam transmission is supported, but the collision rules for different DL Tx beam(s) at a given time instant </w:t>
      </w:r>
      <w:r w:rsidR="00350DF0">
        <w:rPr>
          <w:rFonts w:eastAsia="微软雅黑"/>
          <w:sz w:val="20"/>
          <w:szCs w:val="20"/>
        </w:rPr>
        <w:t>are</w:t>
      </w:r>
      <w:r>
        <w:rPr>
          <w:rFonts w:eastAsia="微软雅黑"/>
          <w:sz w:val="20"/>
          <w:szCs w:val="20"/>
        </w:rPr>
        <w:t xml:space="preserve"> still based on the single DL Tx beam transmission, i.e., according to Rel-15. With</w:t>
      </w:r>
      <w:r>
        <w:rPr>
          <w:rFonts w:eastAsia="微软雅黑" w:hint="eastAsia"/>
          <w:sz w:val="20"/>
          <w:szCs w:val="20"/>
        </w:rPr>
        <w:t xml:space="preserve"> the</w:t>
      </w:r>
      <w:r>
        <w:rPr>
          <w:rFonts w:eastAsia="微软雅黑"/>
          <w:sz w:val="20"/>
          <w:szCs w:val="20"/>
        </w:rPr>
        <w:t xml:space="preserve"> support of multi-panel operation for DL transmission, </w:t>
      </w:r>
      <w:r>
        <w:rPr>
          <w:rFonts w:eastAsia="微软雅黑" w:hint="eastAsia"/>
          <w:sz w:val="20"/>
          <w:szCs w:val="20"/>
        </w:rPr>
        <w:t xml:space="preserve">it is assumed that </w:t>
      </w:r>
      <w:r>
        <w:rPr>
          <w:rFonts w:eastAsia="微软雅黑"/>
          <w:sz w:val="20"/>
          <w:szCs w:val="20"/>
        </w:rPr>
        <w:t xml:space="preserve">DL channels or RSs from </w:t>
      </w:r>
      <w:r>
        <w:rPr>
          <w:rFonts w:eastAsia="微软雅黑" w:hint="eastAsia"/>
          <w:sz w:val="20"/>
          <w:szCs w:val="20"/>
        </w:rPr>
        <w:t xml:space="preserve">the </w:t>
      </w:r>
      <w:r>
        <w:rPr>
          <w:rFonts w:eastAsia="微软雅黑"/>
          <w:sz w:val="20"/>
          <w:szCs w:val="20"/>
        </w:rPr>
        <w:t>same or different CCs</w:t>
      </w:r>
      <w:r>
        <w:rPr>
          <w:rFonts w:eastAsia="微软雅黑" w:hint="eastAsia"/>
          <w:sz w:val="20"/>
          <w:szCs w:val="20"/>
        </w:rPr>
        <w:t xml:space="preserve"> (or TRPs)</w:t>
      </w:r>
      <w:r>
        <w:rPr>
          <w:rFonts w:eastAsia="微软雅黑"/>
          <w:sz w:val="20"/>
          <w:szCs w:val="20"/>
        </w:rPr>
        <w:t xml:space="preserve"> can be received with different spatial QCL parameters</w:t>
      </w:r>
      <w:r>
        <w:rPr>
          <w:rFonts w:eastAsia="微软雅黑" w:hint="eastAsia"/>
          <w:sz w:val="20"/>
          <w:szCs w:val="20"/>
        </w:rPr>
        <w:t xml:space="preserve"> </w:t>
      </w:r>
      <w:r>
        <w:rPr>
          <w:rFonts w:eastAsia="微软雅黑"/>
          <w:sz w:val="20"/>
          <w:szCs w:val="20"/>
        </w:rPr>
        <w:t xml:space="preserve">simultaneously, according to </w:t>
      </w:r>
      <w:r>
        <w:rPr>
          <w:rFonts w:eastAsia="微软雅黑" w:hint="eastAsia"/>
          <w:sz w:val="20"/>
          <w:szCs w:val="20"/>
        </w:rPr>
        <w:t xml:space="preserve">the </w:t>
      </w:r>
      <w:r>
        <w:rPr>
          <w:rFonts w:eastAsia="微软雅黑"/>
          <w:sz w:val="20"/>
          <w:szCs w:val="20"/>
        </w:rPr>
        <w:t xml:space="preserve">UE capability. </w:t>
      </w:r>
      <w:r>
        <w:rPr>
          <w:rFonts w:eastAsia="微软雅黑"/>
          <w:sz w:val="20"/>
          <w:szCs w:val="20"/>
        </w:rPr>
        <w:lastRenderedPageBreak/>
        <w:t>Furthermore, considering constraints of antenna group(s), different spatial QCL parameters should be associated with respective antenna groups</w:t>
      </w:r>
      <w:r w:rsidR="00350DF0">
        <w:rPr>
          <w:rFonts w:eastAsia="微软雅黑"/>
          <w:sz w:val="20"/>
          <w:szCs w:val="20"/>
        </w:rPr>
        <w:t>, e.g., panel,</w:t>
      </w:r>
      <w:r>
        <w:rPr>
          <w:rFonts w:eastAsia="微软雅黑"/>
          <w:sz w:val="20"/>
          <w:szCs w:val="20"/>
        </w:rPr>
        <w:t xml:space="preserve"> of </w:t>
      </w:r>
      <w:r>
        <w:rPr>
          <w:rFonts w:eastAsia="微软雅黑" w:hint="eastAsia"/>
          <w:sz w:val="20"/>
          <w:szCs w:val="20"/>
        </w:rPr>
        <w:t xml:space="preserve">the </w:t>
      </w:r>
      <w:r>
        <w:rPr>
          <w:rFonts w:eastAsia="微软雅黑"/>
          <w:sz w:val="20"/>
          <w:szCs w:val="20"/>
        </w:rPr>
        <w:t>UE side as one condition.</w:t>
      </w:r>
    </w:p>
    <w:p w:rsidR="00402F9E" w:rsidRDefault="00402F9E" w:rsidP="004C3740">
      <w:pPr>
        <w:numPr>
          <w:ilvl w:val="0"/>
          <w:numId w:val="9"/>
        </w:numPr>
        <w:spacing w:afterLines="50" w:after="120" w:line="300" w:lineRule="auto"/>
        <w:jc w:val="both"/>
        <w:rPr>
          <w:rFonts w:eastAsia="微软雅黑" w:hint="eastAsia"/>
          <w:sz w:val="20"/>
          <w:szCs w:val="20"/>
        </w:rPr>
      </w:pPr>
      <w:r>
        <w:rPr>
          <w:rFonts w:eastAsia="微软雅黑" w:hint="eastAsia"/>
          <w:sz w:val="20"/>
          <w:szCs w:val="20"/>
        </w:rPr>
        <w:t xml:space="preserve">For instance, for a multi-panel UE, there can be only one spatial QCL parameter applied for </w:t>
      </w:r>
      <w:r w:rsidR="00350DF0">
        <w:rPr>
          <w:rFonts w:eastAsia="微软雅黑"/>
          <w:sz w:val="20"/>
          <w:szCs w:val="20"/>
        </w:rPr>
        <w:t xml:space="preserve">a single </w:t>
      </w:r>
      <w:r>
        <w:rPr>
          <w:rFonts w:eastAsia="微软雅黑" w:hint="eastAsia"/>
          <w:sz w:val="20"/>
          <w:szCs w:val="20"/>
        </w:rPr>
        <w:t>antenna group at a given time instant.</w:t>
      </w:r>
    </w:p>
    <w:p w:rsidR="00402F9E" w:rsidRDefault="00402F9E" w:rsidP="004C3740">
      <w:pPr>
        <w:numPr>
          <w:ilvl w:val="0"/>
          <w:numId w:val="9"/>
        </w:numPr>
        <w:spacing w:afterLines="50" w:after="120" w:line="300" w:lineRule="auto"/>
        <w:jc w:val="both"/>
        <w:rPr>
          <w:rFonts w:eastAsia="微软雅黑" w:hint="eastAsia"/>
          <w:sz w:val="20"/>
          <w:szCs w:val="20"/>
        </w:rPr>
      </w:pPr>
      <w:r>
        <w:rPr>
          <w:rFonts w:eastAsia="微软雅黑" w:hint="eastAsia"/>
          <w:sz w:val="20"/>
          <w:szCs w:val="20"/>
        </w:rPr>
        <w:t xml:space="preserve">Additionally, different spatial QCL parameters can be applied to the different antenna groups at a given time instant. As shown in Figure 2, DL channel/RS-0 and DL channel/RS-1 should be transmitted simultaneously based on two different </w:t>
      </w:r>
      <w:r w:rsidR="00350DF0">
        <w:rPr>
          <w:rFonts w:eastAsia="微软雅黑"/>
          <w:sz w:val="20"/>
          <w:szCs w:val="20"/>
        </w:rPr>
        <w:t xml:space="preserve">gNB Tx </w:t>
      </w:r>
      <w:r>
        <w:rPr>
          <w:rFonts w:eastAsia="微软雅黑" w:hint="eastAsia"/>
          <w:sz w:val="20"/>
          <w:szCs w:val="20"/>
        </w:rPr>
        <w:t xml:space="preserve">beams, i.e., the green beam and the blue beam, </w:t>
      </w:r>
      <w:r w:rsidR="00350DF0">
        <w:rPr>
          <w:rFonts w:eastAsia="微软雅黑"/>
          <w:sz w:val="20"/>
          <w:szCs w:val="20"/>
        </w:rPr>
        <w:t xml:space="preserve">respectively. Herein, </w:t>
      </w:r>
      <w:r>
        <w:rPr>
          <w:rFonts w:eastAsia="微软雅黑" w:hint="eastAsia"/>
          <w:sz w:val="20"/>
          <w:szCs w:val="20"/>
        </w:rPr>
        <w:t xml:space="preserve">the two </w:t>
      </w:r>
      <w:r w:rsidR="00350DF0">
        <w:rPr>
          <w:rFonts w:eastAsia="微软雅黑"/>
          <w:sz w:val="20"/>
          <w:szCs w:val="20"/>
        </w:rPr>
        <w:t xml:space="preserve">different gNB Tx </w:t>
      </w:r>
      <w:r>
        <w:rPr>
          <w:rFonts w:eastAsia="微软雅黑" w:hint="eastAsia"/>
          <w:sz w:val="20"/>
          <w:szCs w:val="20"/>
        </w:rPr>
        <w:t xml:space="preserve">beams </w:t>
      </w:r>
      <w:r w:rsidR="00350DF0">
        <w:rPr>
          <w:rFonts w:eastAsia="微软雅黑"/>
          <w:sz w:val="20"/>
          <w:szCs w:val="20"/>
        </w:rPr>
        <w:t xml:space="preserve">corresponds the </w:t>
      </w:r>
      <w:r>
        <w:rPr>
          <w:rFonts w:eastAsia="微软雅黑" w:hint="eastAsia"/>
          <w:sz w:val="20"/>
          <w:szCs w:val="20"/>
        </w:rPr>
        <w:t>panel-0 and panel-1 (or panel-1 and panel-0)</w:t>
      </w:r>
      <w:r w:rsidR="00350DF0">
        <w:rPr>
          <w:rFonts w:eastAsia="微软雅黑"/>
          <w:sz w:val="20"/>
          <w:szCs w:val="20"/>
        </w:rPr>
        <w:t>,</w:t>
      </w:r>
      <w:r>
        <w:rPr>
          <w:rFonts w:eastAsia="微软雅黑" w:hint="eastAsia"/>
          <w:sz w:val="20"/>
          <w:szCs w:val="20"/>
        </w:rPr>
        <w:t xml:space="preserve"> respectively.</w:t>
      </w:r>
    </w:p>
    <w:p w:rsidR="00402F9E" w:rsidRDefault="00600E97">
      <w:pPr>
        <w:snapToGrid w:val="0"/>
        <w:spacing w:before="120" w:afterLines="50" w:after="120"/>
        <w:jc w:val="center"/>
        <w:rPr>
          <w:rFonts w:eastAsia="微软雅黑" w:hint="eastAsia"/>
          <w:sz w:val="20"/>
          <w:szCs w:val="20"/>
        </w:rPr>
      </w:pPr>
      <w:r>
        <w:rPr>
          <w:rFonts w:eastAsia="微软雅黑" w:hint="eastAsia"/>
          <w:noProof/>
          <w:sz w:val="20"/>
          <w:szCs w:val="20"/>
        </w:rPr>
        <w:drawing>
          <wp:inline distT="0" distB="0" distL="0" distR="0">
            <wp:extent cx="2965450" cy="1945005"/>
            <wp:effectExtent l="0" t="0" r="0" b="0"/>
            <wp:docPr id="2" name="图片 9"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图片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65450" cy="1945005"/>
                    </a:xfrm>
                    <a:prstGeom prst="rect">
                      <a:avLst/>
                    </a:prstGeom>
                    <a:noFill/>
                    <a:ln>
                      <a:noFill/>
                    </a:ln>
                  </pic:spPr>
                </pic:pic>
              </a:graphicData>
            </a:graphic>
          </wp:inline>
        </w:drawing>
      </w:r>
    </w:p>
    <w:p w:rsidR="00402F9E" w:rsidRDefault="00402F9E">
      <w:pPr>
        <w:snapToGrid w:val="0"/>
        <w:spacing w:before="120" w:afterLines="50" w:after="120"/>
        <w:jc w:val="center"/>
        <w:rPr>
          <w:rFonts w:eastAsia="微软雅黑"/>
          <w:sz w:val="20"/>
          <w:szCs w:val="20"/>
        </w:rPr>
      </w:pPr>
      <w:r>
        <w:rPr>
          <w:b/>
          <w:sz w:val="20"/>
          <w:szCs w:val="20"/>
        </w:rPr>
        <w:t xml:space="preserve">Figure </w:t>
      </w:r>
      <w:r>
        <w:rPr>
          <w:rFonts w:hint="eastAsia"/>
          <w:b/>
          <w:sz w:val="20"/>
          <w:szCs w:val="20"/>
        </w:rPr>
        <w:t>2</w:t>
      </w:r>
      <w:r>
        <w:rPr>
          <w:rFonts w:eastAsia="微软雅黑" w:hint="eastAsia"/>
          <w:sz w:val="20"/>
          <w:szCs w:val="20"/>
        </w:rPr>
        <w:t xml:space="preserve"> Simultaneous transmission of different channel(s) and RS(s) based on different beams and different panels</w:t>
      </w:r>
    </w:p>
    <w:p w:rsidR="00402F9E" w:rsidRDefault="00402F9E" w:rsidP="004C3740">
      <w:pPr>
        <w:snapToGrid w:val="0"/>
        <w:spacing w:before="120" w:afterLines="50" w:after="120" w:line="300" w:lineRule="auto"/>
        <w:jc w:val="both"/>
        <w:rPr>
          <w:rFonts w:eastAsia="微软雅黑"/>
          <w:sz w:val="20"/>
          <w:szCs w:val="20"/>
        </w:rPr>
      </w:pPr>
      <w:r>
        <w:rPr>
          <w:rFonts w:eastAsia="微软雅黑" w:hint="eastAsia"/>
          <w:sz w:val="20"/>
          <w:szCs w:val="20"/>
        </w:rPr>
        <w:t xml:space="preserve">However, different spatial QCL parameters of different DL channel(s) and RS(s) may be applied to the same antenna group at a given time instant in some cases. For example, as shown in Figure 3, in a non-ideal backhaul scenario (e.g., multi-DCI in multi-TRP), the UE rotates at a given time instant, and only panel-0 faces to 2 TRPs. Thereby, for the reception of DL channel/RS-0 and DL channel/RS-1, the two best (Rx) beam are likely to be associated with panel-0. With this collision, the UE </w:t>
      </w:r>
      <w:r w:rsidR="00350DF0">
        <w:rPr>
          <w:rFonts w:eastAsia="微软雅黑"/>
          <w:sz w:val="20"/>
          <w:szCs w:val="20"/>
        </w:rPr>
        <w:t>fails to</w:t>
      </w:r>
      <w:r>
        <w:rPr>
          <w:rFonts w:eastAsia="微软雅黑" w:hint="eastAsia"/>
          <w:sz w:val="20"/>
          <w:szCs w:val="20"/>
        </w:rPr>
        <w:t xml:space="preserve"> receive the DL channel(s) and RS(s) </w:t>
      </w:r>
      <w:r w:rsidR="00350DF0">
        <w:rPr>
          <w:rFonts w:eastAsia="微软雅黑"/>
          <w:sz w:val="20"/>
          <w:szCs w:val="20"/>
        </w:rPr>
        <w:t xml:space="preserve">simultaneously </w:t>
      </w:r>
      <w:r>
        <w:rPr>
          <w:rFonts w:eastAsia="微软雅黑" w:hint="eastAsia"/>
          <w:sz w:val="20"/>
          <w:szCs w:val="20"/>
        </w:rPr>
        <w:t>due to the restrict</w:t>
      </w:r>
      <w:r w:rsidR="00350DF0">
        <w:rPr>
          <w:rFonts w:eastAsia="微软雅黑"/>
          <w:sz w:val="20"/>
          <w:szCs w:val="20"/>
        </w:rPr>
        <w:t>ion</w:t>
      </w:r>
      <w:r>
        <w:rPr>
          <w:rFonts w:eastAsia="微软雅黑" w:hint="eastAsia"/>
          <w:sz w:val="20"/>
          <w:szCs w:val="20"/>
        </w:rPr>
        <w:t xml:space="preserve"> of its capability. In order to avoid such </w:t>
      </w:r>
      <w:r w:rsidR="00176CC8">
        <w:rPr>
          <w:rFonts w:eastAsia="微软雅黑"/>
          <w:sz w:val="20"/>
          <w:szCs w:val="20"/>
        </w:rPr>
        <w:t xml:space="preserve">dynamical </w:t>
      </w:r>
      <w:r>
        <w:rPr>
          <w:rFonts w:eastAsia="微软雅黑" w:hint="eastAsia"/>
          <w:sz w:val="20"/>
          <w:szCs w:val="20"/>
        </w:rPr>
        <w:t xml:space="preserve">collisions, one </w:t>
      </w:r>
      <w:r w:rsidR="00176CC8">
        <w:rPr>
          <w:rFonts w:eastAsia="微软雅黑"/>
          <w:sz w:val="20"/>
          <w:szCs w:val="20"/>
        </w:rPr>
        <w:t>straightforward</w:t>
      </w:r>
      <w:r w:rsidR="00176CC8">
        <w:rPr>
          <w:rFonts w:eastAsia="微软雅黑" w:hint="eastAsia"/>
          <w:sz w:val="20"/>
          <w:szCs w:val="20"/>
        </w:rPr>
        <w:t xml:space="preserve"> </w:t>
      </w:r>
      <w:r>
        <w:rPr>
          <w:rFonts w:eastAsia="微软雅黑" w:hint="eastAsia"/>
          <w:sz w:val="20"/>
          <w:szCs w:val="20"/>
        </w:rPr>
        <w:t xml:space="preserve">way is that the gNB </w:t>
      </w:r>
      <w:r w:rsidR="00176CC8">
        <w:rPr>
          <w:rFonts w:eastAsia="微软雅黑"/>
          <w:sz w:val="20"/>
          <w:szCs w:val="20"/>
        </w:rPr>
        <w:t>shall ALWAYS</w:t>
      </w:r>
      <w:r>
        <w:rPr>
          <w:rFonts w:eastAsia="微软雅黑" w:hint="eastAsia"/>
          <w:sz w:val="20"/>
          <w:szCs w:val="20"/>
        </w:rPr>
        <w:t xml:space="preserve"> transmit the different DL channel(s) and RS(s) </w:t>
      </w:r>
      <w:r w:rsidR="00176CC8">
        <w:rPr>
          <w:rFonts w:eastAsia="微软雅黑"/>
          <w:sz w:val="20"/>
          <w:szCs w:val="20"/>
        </w:rPr>
        <w:t xml:space="preserve">with different spatial QCL parameter </w:t>
      </w:r>
      <w:r>
        <w:rPr>
          <w:rFonts w:eastAsia="微软雅黑" w:hint="eastAsia"/>
          <w:sz w:val="20"/>
          <w:szCs w:val="20"/>
        </w:rPr>
        <w:t>by TDMed scheme</w:t>
      </w:r>
      <w:r w:rsidR="00350DF0">
        <w:rPr>
          <w:rFonts w:eastAsia="微软雅黑"/>
          <w:sz w:val="20"/>
          <w:szCs w:val="20"/>
        </w:rPr>
        <w:t>, e.g., go back to Rel-15 design</w:t>
      </w:r>
      <w:r>
        <w:rPr>
          <w:rFonts w:eastAsia="微软雅黑" w:hint="eastAsia"/>
          <w:sz w:val="20"/>
          <w:szCs w:val="20"/>
        </w:rPr>
        <w:t xml:space="preserve">. </w:t>
      </w:r>
      <w:r w:rsidR="00176CC8">
        <w:rPr>
          <w:rFonts w:eastAsia="微软雅黑"/>
          <w:sz w:val="20"/>
          <w:szCs w:val="20"/>
        </w:rPr>
        <w:t xml:space="preserve">No doubt that </w:t>
      </w:r>
      <w:r>
        <w:rPr>
          <w:rFonts w:eastAsia="微软雅黑" w:hint="eastAsia"/>
          <w:sz w:val="20"/>
          <w:szCs w:val="20"/>
        </w:rPr>
        <w:t xml:space="preserve">this approach does </w:t>
      </w:r>
      <w:r w:rsidR="00F81D66">
        <w:rPr>
          <w:rFonts w:eastAsia="微软雅黑"/>
          <w:sz w:val="20"/>
          <w:szCs w:val="20"/>
        </w:rPr>
        <w:t>NOT achieve any</w:t>
      </w:r>
      <w:r w:rsidR="00176CC8">
        <w:rPr>
          <w:rFonts w:eastAsia="微软雅黑"/>
          <w:sz w:val="20"/>
          <w:szCs w:val="20"/>
        </w:rPr>
        <w:t xml:space="preserve"> performance gain through using DL simultaneous reception</w:t>
      </w:r>
      <w:r w:rsidR="00176CC8">
        <w:rPr>
          <w:rFonts w:eastAsia="微软雅黑" w:hint="eastAsia"/>
          <w:sz w:val="20"/>
          <w:szCs w:val="20"/>
        </w:rPr>
        <w:t xml:space="preserve"> </w:t>
      </w:r>
      <w:r w:rsidR="00176CC8">
        <w:rPr>
          <w:rFonts w:eastAsia="微软雅黑"/>
          <w:sz w:val="20"/>
          <w:szCs w:val="20"/>
        </w:rPr>
        <w:t xml:space="preserve">with multiple UE antenna groups, and meanwhile </w:t>
      </w:r>
      <w:r>
        <w:rPr>
          <w:rFonts w:eastAsia="微软雅黑" w:hint="eastAsia"/>
          <w:sz w:val="20"/>
          <w:szCs w:val="20"/>
        </w:rPr>
        <w:t xml:space="preserve">it </w:t>
      </w:r>
      <w:r w:rsidR="00176CC8">
        <w:rPr>
          <w:rFonts w:eastAsia="微软雅黑"/>
          <w:sz w:val="20"/>
          <w:szCs w:val="20"/>
        </w:rPr>
        <w:t xml:space="preserve">also </w:t>
      </w:r>
      <w:r>
        <w:rPr>
          <w:rFonts w:eastAsia="微软雅黑" w:hint="eastAsia"/>
          <w:sz w:val="20"/>
          <w:szCs w:val="20"/>
        </w:rPr>
        <w:t>greatly limit</w:t>
      </w:r>
      <w:r w:rsidR="00176CC8">
        <w:rPr>
          <w:rFonts w:eastAsia="微软雅黑"/>
          <w:sz w:val="20"/>
          <w:szCs w:val="20"/>
        </w:rPr>
        <w:t>s</w:t>
      </w:r>
      <w:r>
        <w:rPr>
          <w:rFonts w:eastAsia="微软雅黑" w:hint="eastAsia"/>
          <w:sz w:val="20"/>
          <w:szCs w:val="20"/>
        </w:rPr>
        <w:t xml:space="preserve"> the flexibility of the gNB scheduling.</w:t>
      </w:r>
    </w:p>
    <w:p w:rsidR="004676D2" w:rsidRDefault="004676D2" w:rsidP="004C3740">
      <w:pPr>
        <w:snapToGrid w:val="0"/>
        <w:spacing w:before="120" w:afterLines="50" w:after="120" w:line="300" w:lineRule="auto"/>
        <w:jc w:val="both"/>
        <w:rPr>
          <w:rFonts w:eastAsia="微软雅黑"/>
          <w:sz w:val="20"/>
          <w:szCs w:val="20"/>
        </w:rPr>
      </w:pPr>
      <w:r>
        <w:rPr>
          <w:rFonts w:eastAsia="微软雅黑" w:hint="eastAsia"/>
          <w:sz w:val="20"/>
          <w:szCs w:val="20"/>
        </w:rPr>
        <w:t>Therefore, in order to ensure the flexibility of the gNB scheduling, it is necessary to study mechanism or collision rules that can resolve such collisions, e.g., the UE can prioritize the reception of a DL channel or RS with higher priority. Furthermore, t</w:t>
      </w:r>
      <w:r>
        <w:rPr>
          <w:rFonts w:eastAsia="微软雅黑"/>
          <w:sz w:val="20"/>
          <w:szCs w:val="20"/>
        </w:rPr>
        <w:t>he following cases for simultaneous transmission of different DL channel(s) and RS(s) can be studied: PDCCH+PDSCH, PDSCH+PDSCH, PDSCH+CSI-RS, CSI-RS+CSI-RS, etc.</w:t>
      </w:r>
    </w:p>
    <w:p w:rsidR="004676D2" w:rsidRPr="004C3740" w:rsidRDefault="004676D2" w:rsidP="004C3740">
      <w:pPr>
        <w:spacing w:before="120" w:after="120" w:line="300" w:lineRule="auto"/>
        <w:ind w:right="11"/>
        <w:jc w:val="both"/>
        <w:rPr>
          <w:rFonts w:hint="eastAsia"/>
          <w:b/>
          <w:sz w:val="28"/>
          <w:szCs w:val="20"/>
        </w:rPr>
      </w:pPr>
      <w:r>
        <w:rPr>
          <w:b/>
          <w:i/>
          <w:sz w:val="20"/>
          <w:szCs w:val="20"/>
        </w:rPr>
        <w:t xml:space="preserve">Proposal 4: </w:t>
      </w:r>
      <w:r>
        <w:rPr>
          <w:rFonts w:hint="eastAsia"/>
          <w:i/>
          <w:sz w:val="20"/>
          <w:szCs w:val="20"/>
        </w:rPr>
        <w:t xml:space="preserve"> </w:t>
      </w:r>
      <w:r>
        <w:rPr>
          <w:rFonts w:eastAsia="微软雅黑"/>
          <w:i/>
          <w:sz w:val="20"/>
          <w:szCs w:val="20"/>
        </w:rPr>
        <w:t>Study mechanism or collision rules of simultaneous transmission of different DL channel(s) and RS(s) (e.g., PDCCH+PDSCH, PDSCH+PDSCH, PDSCH+CSI-RS, CSI-RS+CSI-RS) for the case of multi-TRP transmission with UE multi-panel reception.</w:t>
      </w:r>
    </w:p>
    <w:p w:rsidR="00402F9E" w:rsidRDefault="00402F9E">
      <w:pPr>
        <w:snapToGrid w:val="0"/>
        <w:spacing w:before="120" w:afterLines="50" w:after="120"/>
        <w:jc w:val="center"/>
        <w:rPr>
          <w:rFonts w:eastAsia="微软雅黑"/>
          <w:sz w:val="20"/>
          <w:szCs w:val="20"/>
        </w:rPr>
      </w:pPr>
      <w:r>
        <w:rPr>
          <w:rFonts w:eastAsia="微软雅黑" w:hint="eastAsia"/>
          <w:sz w:val="20"/>
          <w:szCs w:val="20"/>
        </w:rPr>
        <w:lastRenderedPageBreak/>
        <w:t xml:space="preserve">    </w:t>
      </w:r>
      <w:r w:rsidR="00600E97">
        <w:rPr>
          <w:rFonts w:eastAsia="微软雅黑" w:hint="eastAsia"/>
          <w:noProof/>
          <w:sz w:val="20"/>
          <w:szCs w:val="20"/>
        </w:rPr>
        <w:drawing>
          <wp:inline distT="0" distB="0" distL="0" distR="0">
            <wp:extent cx="3054985" cy="2372995"/>
            <wp:effectExtent l="0" t="0" r="0" b="8255"/>
            <wp:docPr id="3" name="图片 13"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图片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54985" cy="2372995"/>
                    </a:xfrm>
                    <a:prstGeom prst="rect">
                      <a:avLst/>
                    </a:prstGeom>
                    <a:noFill/>
                    <a:ln>
                      <a:noFill/>
                    </a:ln>
                  </pic:spPr>
                </pic:pic>
              </a:graphicData>
            </a:graphic>
          </wp:inline>
        </w:drawing>
      </w:r>
      <w:r>
        <w:rPr>
          <w:rFonts w:eastAsia="微软雅黑" w:hint="eastAsia"/>
          <w:sz w:val="20"/>
          <w:szCs w:val="20"/>
        </w:rPr>
        <w:t xml:space="preserve"> </w:t>
      </w:r>
    </w:p>
    <w:p w:rsidR="00402F9E" w:rsidRDefault="00402F9E">
      <w:pPr>
        <w:snapToGrid w:val="0"/>
        <w:spacing w:before="120" w:afterLines="50" w:after="120"/>
        <w:jc w:val="center"/>
        <w:rPr>
          <w:rFonts w:eastAsia="微软雅黑"/>
          <w:sz w:val="20"/>
          <w:szCs w:val="20"/>
        </w:rPr>
      </w:pPr>
      <w:r>
        <w:rPr>
          <w:b/>
          <w:sz w:val="20"/>
          <w:szCs w:val="20"/>
        </w:rPr>
        <w:t xml:space="preserve">Figure </w:t>
      </w:r>
      <w:r>
        <w:rPr>
          <w:rFonts w:hint="eastAsia"/>
          <w:b/>
          <w:sz w:val="20"/>
          <w:szCs w:val="20"/>
        </w:rPr>
        <w:t>3</w:t>
      </w:r>
      <w:r>
        <w:rPr>
          <w:rFonts w:eastAsia="微软雅黑" w:hint="eastAsia"/>
          <w:sz w:val="20"/>
          <w:szCs w:val="20"/>
        </w:rPr>
        <w:t xml:space="preserve"> </w:t>
      </w:r>
      <w:r w:rsidR="00176CC8">
        <w:rPr>
          <w:rFonts w:eastAsia="微软雅黑"/>
          <w:sz w:val="20"/>
          <w:szCs w:val="20"/>
        </w:rPr>
        <w:t>T</w:t>
      </w:r>
      <w:r>
        <w:rPr>
          <w:rFonts w:eastAsia="微软雅黑" w:hint="eastAsia"/>
          <w:sz w:val="20"/>
          <w:szCs w:val="20"/>
        </w:rPr>
        <w:t>ransmission of different channel(s) and RS(s) based on different beams and the same panel</w:t>
      </w:r>
      <w:r w:rsidR="00176CC8">
        <w:rPr>
          <w:rFonts w:eastAsia="微软雅黑"/>
          <w:sz w:val="20"/>
          <w:szCs w:val="20"/>
        </w:rPr>
        <w:t xml:space="preserve"> for a multi-panel UE</w:t>
      </w:r>
    </w:p>
    <w:p w:rsidR="00402F9E" w:rsidRDefault="00402F9E">
      <w:pPr>
        <w:numPr>
          <w:ilvl w:val="0"/>
          <w:numId w:val="3"/>
        </w:numPr>
        <w:tabs>
          <w:tab w:val="clear" w:pos="432"/>
        </w:tabs>
        <w:snapToGrid w:val="0"/>
        <w:spacing w:before="240" w:afterLines="50" w:after="120"/>
        <w:ind w:left="425" w:hanging="425"/>
        <w:jc w:val="both"/>
        <w:outlineLvl w:val="0"/>
        <w:rPr>
          <w:b/>
          <w:sz w:val="28"/>
          <w:szCs w:val="28"/>
        </w:rPr>
      </w:pPr>
      <w:r>
        <w:rPr>
          <w:b/>
          <w:sz w:val="28"/>
          <w:szCs w:val="28"/>
        </w:rPr>
        <w:t>Enhancement(s) on TRP-specific beam recovery</w:t>
      </w:r>
    </w:p>
    <w:p w:rsidR="00402F9E" w:rsidRDefault="00402F9E" w:rsidP="004C3740">
      <w:pPr>
        <w:snapToGrid w:val="0"/>
        <w:spacing w:before="120" w:afterLines="50" w:after="120" w:line="300" w:lineRule="auto"/>
        <w:jc w:val="both"/>
        <w:rPr>
          <w:sz w:val="20"/>
          <w:szCs w:val="20"/>
        </w:rPr>
      </w:pPr>
      <w:r>
        <w:rPr>
          <w:sz w:val="20"/>
          <w:szCs w:val="20"/>
        </w:rPr>
        <w:t>In general, there are independent beam pair links for each of multiple TRP serving a single UE, and consequently only beam pair link for partial TRPs fail</w:t>
      </w:r>
      <w:r w:rsidR="00F81D66">
        <w:rPr>
          <w:sz w:val="20"/>
          <w:szCs w:val="20"/>
        </w:rPr>
        <w:t>s</w:t>
      </w:r>
      <w:r>
        <w:rPr>
          <w:sz w:val="20"/>
          <w:szCs w:val="20"/>
        </w:rPr>
        <w:t xml:space="preserve"> instead of all beam pair links. For instance, in Figure </w:t>
      </w:r>
      <w:r w:rsidR="00F81D66">
        <w:rPr>
          <w:sz w:val="20"/>
          <w:szCs w:val="20"/>
        </w:rPr>
        <w:t>4</w:t>
      </w:r>
      <w:r>
        <w:rPr>
          <w:sz w:val="20"/>
          <w:szCs w:val="20"/>
        </w:rPr>
        <w:t xml:space="preserve">, Link-1 is blocked by a human or a vehicle, and the channel quality (e.g., BLER of PDCCH/CORESET(s) with the same CORESET pool) may be worse than a threshold. But, there is no blockage occurrence for Link-2, and channel quality is still better than the threshold. Consequently, UE can NOT </w:t>
      </w:r>
      <w:r w:rsidRPr="004C3740">
        <w:rPr>
          <w:rFonts w:eastAsia="微软雅黑"/>
          <w:sz w:val="20"/>
          <w:szCs w:val="20"/>
        </w:rPr>
        <w:t>initialize</w:t>
      </w:r>
      <w:r>
        <w:rPr>
          <w:sz w:val="20"/>
          <w:szCs w:val="20"/>
        </w:rPr>
        <w:t xml:space="preserve"> any beam failure recovery procedure according to the</w:t>
      </w:r>
      <w:r w:rsidR="00F81D66">
        <w:rPr>
          <w:sz w:val="20"/>
          <w:szCs w:val="20"/>
        </w:rPr>
        <w:t xml:space="preserve"> rule of</w:t>
      </w:r>
      <w:r>
        <w:rPr>
          <w:sz w:val="20"/>
          <w:szCs w:val="20"/>
        </w:rPr>
        <w:t xml:space="preserve"> existing beam failure recovery procedure.</w:t>
      </w:r>
    </w:p>
    <w:p w:rsidR="00402F9E" w:rsidRDefault="00402F9E" w:rsidP="004C3740">
      <w:pPr>
        <w:snapToGrid w:val="0"/>
        <w:spacing w:before="120" w:afterLines="50" w:after="120" w:line="300" w:lineRule="auto"/>
        <w:jc w:val="both"/>
        <w:rPr>
          <w:sz w:val="20"/>
          <w:szCs w:val="20"/>
        </w:rPr>
      </w:pPr>
      <w:r>
        <w:rPr>
          <w:sz w:val="20"/>
          <w:szCs w:val="20"/>
        </w:rPr>
        <w:t>Considering the non-ideal backhaul between TRPs, communication link for the failed TRP may NOT be recovered quickly with the assist of a work-</w:t>
      </w:r>
      <w:r w:rsidRPr="004C3740">
        <w:rPr>
          <w:rFonts w:eastAsia="微软雅黑"/>
          <w:sz w:val="20"/>
          <w:szCs w:val="20"/>
        </w:rPr>
        <w:t>well</w:t>
      </w:r>
      <w:r>
        <w:rPr>
          <w:sz w:val="20"/>
          <w:szCs w:val="20"/>
        </w:rPr>
        <w:t xml:space="preserve"> TRP. Straightforward</w:t>
      </w:r>
      <w:r w:rsidR="00F81D66">
        <w:rPr>
          <w:sz w:val="20"/>
          <w:szCs w:val="20"/>
        </w:rPr>
        <w:t>ly</w:t>
      </w:r>
      <w:r>
        <w:rPr>
          <w:sz w:val="20"/>
          <w:szCs w:val="20"/>
        </w:rPr>
        <w:t xml:space="preserve">, the PCell and SCell beam recovery procedure can be enhanced as a TRP-specific one. In Rel-16 eMIMO, there was some initial discussion for TRP-specific beam recovery, but, unfortunately, there </w:t>
      </w:r>
      <w:r w:rsidR="00F81D66">
        <w:rPr>
          <w:sz w:val="20"/>
          <w:szCs w:val="20"/>
        </w:rPr>
        <w:t>was</w:t>
      </w:r>
      <w:r>
        <w:rPr>
          <w:sz w:val="20"/>
          <w:szCs w:val="20"/>
        </w:rPr>
        <w:t xml:space="preserve"> no further progress. </w:t>
      </w:r>
    </w:p>
    <w:p w:rsidR="00402F9E" w:rsidRDefault="00402F9E" w:rsidP="004C3740">
      <w:pPr>
        <w:snapToGrid w:val="0"/>
        <w:spacing w:before="120" w:afterLines="50" w:after="120" w:line="300" w:lineRule="auto"/>
        <w:jc w:val="both"/>
        <w:rPr>
          <w:sz w:val="20"/>
          <w:szCs w:val="20"/>
        </w:rPr>
      </w:pPr>
      <w:r>
        <w:rPr>
          <w:sz w:val="20"/>
          <w:szCs w:val="20"/>
        </w:rPr>
        <w:t>In our views, in order to guarantee TRP-specific transmission, e.g., for mDCI in mTRP, TRP-specific beam recovery procedure should be further studied</w:t>
      </w:r>
      <w:r w:rsidR="00F81D66">
        <w:rPr>
          <w:sz w:val="20"/>
          <w:szCs w:val="20"/>
        </w:rPr>
        <w:t xml:space="preserve"> in Rel-17 </w:t>
      </w:r>
      <w:r w:rsidR="00F81D66" w:rsidRPr="004C3740">
        <w:rPr>
          <w:rFonts w:eastAsia="微软雅黑"/>
          <w:sz w:val="20"/>
          <w:szCs w:val="20"/>
        </w:rPr>
        <w:t>FeMIMO</w:t>
      </w:r>
      <w:r>
        <w:rPr>
          <w:sz w:val="20"/>
          <w:szCs w:val="20"/>
        </w:rPr>
        <w:t xml:space="preserve">. </w:t>
      </w:r>
    </w:p>
    <w:p w:rsidR="00402F9E" w:rsidRDefault="00402F9E" w:rsidP="004C3740">
      <w:pPr>
        <w:numPr>
          <w:ilvl w:val="0"/>
          <w:numId w:val="9"/>
        </w:numPr>
        <w:spacing w:afterLines="50" w:after="120" w:line="300" w:lineRule="auto"/>
        <w:jc w:val="both"/>
        <w:rPr>
          <w:sz w:val="20"/>
          <w:szCs w:val="20"/>
        </w:rPr>
      </w:pPr>
      <w:r>
        <w:rPr>
          <w:sz w:val="20"/>
          <w:szCs w:val="20"/>
        </w:rPr>
        <w:t xml:space="preserve">Considering the already beam recovery procedure for PCell and SCell, we need to identify appropriate beam recovery procedure, e.g., </w:t>
      </w:r>
      <w:r w:rsidR="00F81D66">
        <w:rPr>
          <w:sz w:val="20"/>
          <w:szCs w:val="20"/>
        </w:rPr>
        <w:t>based on</w:t>
      </w:r>
      <w:r>
        <w:rPr>
          <w:sz w:val="20"/>
          <w:szCs w:val="20"/>
        </w:rPr>
        <w:t xml:space="preserve"> PCell BFR or </w:t>
      </w:r>
      <w:r w:rsidR="00F81D66">
        <w:rPr>
          <w:sz w:val="20"/>
          <w:szCs w:val="20"/>
        </w:rPr>
        <w:t xml:space="preserve">based on </w:t>
      </w:r>
      <w:r>
        <w:rPr>
          <w:sz w:val="20"/>
          <w:szCs w:val="20"/>
        </w:rPr>
        <w:t>SCell-BFR, especially for signaling design for beam failure recovery request.</w:t>
      </w:r>
    </w:p>
    <w:p w:rsidR="00402F9E" w:rsidRDefault="00402F9E" w:rsidP="004C3740">
      <w:pPr>
        <w:numPr>
          <w:ilvl w:val="0"/>
          <w:numId w:val="9"/>
        </w:numPr>
        <w:spacing w:afterLines="50" w:after="120" w:line="300" w:lineRule="auto"/>
        <w:jc w:val="both"/>
        <w:rPr>
          <w:sz w:val="20"/>
          <w:szCs w:val="20"/>
        </w:rPr>
      </w:pPr>
      <w:r>
        <w:rPr>
          <w:sz w:val="20"/>
          <w:szCs w:val="20"/>
        </w:rPr>
        <w:t>Then, gNB response for TRP-specific beam recovery and UE behavior after receiving gNB response should be optimized for this TRP-specific case.</w:t>
      </w:r>
    </w:p>
    <w:p w:rsidR="00402F9E" w:rsidRDefault="00402F9E">
      <w:pPr>
        <w:spacing w:before="120" w:after="120" w:line="271" w:lineRule="auto"/>
        <w:ind w:right="11"/>
        <w:jc w:val="both"/>
        <w:rPr>
          <w:rFonts w:eastAsia="微软雅黑"/>
          <w:i/>
          <w:sz w:val="20"/>
          <w:szCs w:val="20"/>
        </w:rPr>
      </w:pPr>
      <w:r>
        <w:rPr>
          <w:b/>
          <w:i/>
          <w:sz w:val="20"/>
          <w:szCs w:val="20"/>
        </w:rPr>
        <w:t xml:space="preserve">Proposal 5: </w:t>
      </w:r>
      <w:r>
        <w:rPr>
          <w:rFonts w:hint="eastAsia"/>
          <w:i/>
          <w:sz w:val="20"/>
          <w:szCs w:val="20"/>
        </w:rPr>
        <w:t xml:space="preserve"> </w:t>
      </w:r>
      <w:r>
        <w:rPr>
          <w:i/>
          <w:sz w:val="20"/>
          <w:szCs w:val="20"/>
        </w:rPr>
        <w:t xml:space="preserve">Study TRP-specific beam recovery procedure in order to </w:t>
      </w:r>
      <w:r w:rsidRPr="004C3740">
        <w:rPr>
          <w:rFonts w:eastAsia="微软雅黑"/>
          <w:i/>
          <w:sz w:val="20"/>
          <w:szCs w:val="20"/>
        </w:rPr>
        <w:t>handle</w:t>
      </w:r>
      <w:r>
        <w:rPr>
          <w:i/>
          <w:sz w:val="20"/>
          <w:szCs w:val="20"/>
        </w:rPr>
        <w:t xml:space="preserve"> partial beam failure event</w:t>
      </w:r>
      <w:r>
        <w:rPr>
          <w:rFonts w:eastAsia="微软雅黑"/>
          <w:i/>
          <w:sz w:val="20"/>
          <w:szCs w:val="20"/>
        </w:rPr>
        <w:t>, e.g., for beam link</w:t>
      </w:r>
      <w:r w:rsidR="00F81D66">
        <w:rPr>
          <w:rFonts w:eastAsia="微软雅黑"/>
          <w:i/>
          <w:sz w:val="20"/>
          <w:szCs w:val="20"/>
        </w:rPr>
        <w:t>(s)</w:t>
      </w:r>
      <w:r>
        <w:rPr>
          <w:rFonts w:eastAsia="微软雅黑"/>
          <w:i/>
          <w:sz w:val="20"/>
          <w:szCs w:val="20"/>
        </w:rPr>
        <w:t xml:space="preserve"> between </w:t>
      </w:r>
      <w:r w:rsidR="00F81D66">
        <w:rPr>
          <w:rFonts w:eastAsia="微软雅黑"/>
          <w:i/>
          <w:sz w:val="20"/>
          <w:szCs w:val="20"/>
        </w:rPr>
        <w:t xml:space="preserve">a UE and </w:t>
      </w:r>
      <w:r>
        <w:rPr>
          <w:rFonts w:eastAsia="微软雅黑"/>
          <w:i/>
          <w:sz w:val="20"/>
          <w:szCs w:val="20"/>
        </w:rPr>
        <w:t>one out of multiple serving TRP</w:t>
      </w:r>
      <w:r w:rsidR="00F81D66">
        <w:rPr>
          <w:rFonts w:eastAsia="微软雅黑"/>
          <w:i/>
          <w:sz w:val="20"/>
          <w:szCs w:val="20"/>
        </w:rPr>
        <w:t>s</w:t>
      </w:r>
      <w:r>
        <w:rPr>
          <w:rFonts w:eastAsia="微软雅黑"/>
          <w:i/>
          <w:sz w:val="20"/>
          <w:szCs w:val="20"/>
        </w:rPr>
        <w:t>.</w:t>
      </w:r>
    </w:p>
    <w:p w:rsidR="00402F9E" w:rsidRDefault="00402F9E">
      <w:pPr>
        <w:numPr>
          <w:ilvl w:val="0"/>
          <w:numId w:val="10"/>
        </w:numPr>
        <w:spacing w:before="120" w:after="120" w:line="271" w:lineRule="auto"/>
        <w:ind w:right="11"/>
        <w:jc w:val="both"/>
        <w:rPr>
          <w:rFonts w:eastAsia="微软雅黑"/>
          <w:i/>
          <w:sz w:val="20"/>
          <w:szCs w:val="20"/>
        </w:rPr>
      </w:pPr>
      <w:r>
        <w:rPr>
          <w:rFonts w:eastAsia="微软雅黑"/>
          <w:i/>
          <w:sz w:val="20"/>
          <w:szCs w:val="20"/>
        </w:rPr>
        <w:t xml:space="preserve">Identify </w:t>
      </w:r>
      <w:r w:rsidR="00F81D66">
        <w:rPr>
          <w:rFonts w:eastAsia="微软雅黑"/>
          <w:i/>
          <w:sz w:val="20"/>
          <w:szCs w:val="20"/>
        </w:rPr>
        <w:t xml:space="preserve">an </w:t>
      </w:r>
      <w:r>
        <w:rPr>
          <w:rFonts w:eastAsia="微软雅黑"/>
          <w:i/>
          <w:sz w:val="20"/>
          <w:szCs w:val="20"/>
        </w:rPr>
        <w:t>app</w:t>
      </w:r>
      <w:r w:rsidR="00F81D66">
        <w:rPr>
          <w:rFonts w:eastAsia="微软雅黑"/>
          <w:i/>
          <w:sz w:val="20"/>
          <w:szCs w:val="20"/>
        </w:rPr>
        <w:t>ropriate</w:t>
      </w:r>
      <w:r>
        <w:rPr>
          <w:rFonts w:eastAsia="微软雅黑"/>
          <w:i/>
          <w:sz w:val="20"/>
          <w:szCs w:val="20"/>
        </w:rPr>
        <w:t xml:space="preserve"> beam recovery procedure from the existing PCell-BFR and SCell-BFR, e.g., for signaling of beam failure recovery request.</w:t>
      </w:r>
    </w:p>
    <w:p w:rsidR="00402F9E" w:rsidRDefault="00402F9E">
      <w:pPr>
        <w:numPr>
          <w:ilvl w:val="0"/>
          <w:numId w:val="10"/>
        </w:numPr>
        <w:spacing w:before="120" w:after="120" w:line="271" w:lineRule="auto"/>
        <w:ind w:right="11"/>
        <w:jc w:val="both"/>
        <w:rPr>
          <w:rFonts w:eastAsia="微软雅黑"/>
          <w:i/>
          <w:sz w:val="20"/>
          <w:szCs w:val="20"/>
        </w:rPr>
      </w:pPr>
      <w:r>
        <w:rPr>
          <w:rFonts w:eastAsia="微软雅黑"/>
          <w:i/>
          <w:sz w:val="20"/>
          <w:szCs w:val="20"/>
        </w:rPr>
        <w:t>Study TRP-specific procedure for gNB response for beam failure recovery request as well as default UE behavior after receiving gNB response.</w:t>
      </w:r>
    </w:p>
    <w:p w:rsidR="00402F9E" w:rsidRDefault="00CD6054">
      <w:pPr>
        <w:snapToGrid w:val="0"/>
        <w:spacing w:before="120" w:afterLines="50" w:after="120"/>
        <w:jc w:val="center"/>
      </w:pPr>
      <w:r>
        <w:object w:dxaOrig="9088" w:dyaOrig="6046">
          <v:shape id="对象 8" o:spid="_x0000_i1026" type="#_x0000_t75" style="width:347.5pt;height:231.5pt;mso-position-horizontal-relative:page;mso-position-vertical-relative:page" o:ole="">
            <v:imagedata r:id="rId9" o:title=""/>
          </v:shape>
          <o:OLEObject Type="Embed" ProgID="Visio.Drawing.11" ShapeID="对象 8" DrawAspect="Content" ObjectID="_1658348004" r:id="rId10"/>
        </w:object>
      </w:r>
    </w:p>
    <w:p w:rsidR="00402F9E" w:rsidRDefault="00402F9E">
      <w:pPr>
        <w:spacing w:before="120" w:after="120"/>
        <w:jc w:val="center"/>
        <w:rPr>
          <w:sz w:val="20"/>
          <w:szCs w:val="20"/>
        </w:rPr>
      </w:pPr>
      <w:r>
        <w:rPr>
          <w:b/>
          <w:sz w:val="20"/>
          <w:szCs w:val="20"/>
        </w:rPr>
        <w:t xml:space="preserve">Figure </w:t>
      </w:r>
      <w:r w:rsidR="00F81D66">
        <w:rPr>
          <w:b/>
          <w:sz w:val="20"/>
          <w:szCs w:val="20"/>
        </w:rPr>
        <w:t>4</w:t>
      </w:r>
      <w:r>
        <w:rPr>
          <w:b/>
          <w:sz w:val="20"/>
          <w:szCs w:val="20"/>
        </w:rPr>
        <w:t xml:space="preserve"> </w:t>
      </w:r>
      <w:r>
        <w:rPr>
          <w:sz w:val="20"/>
          <w:szCs w:val="20"/>
        </w:rPr>
        <w:t>Multi-beam transmission for multi-TRP transmission with multi UE-panel reception</w:t>
      </w:r>
    </w:p>
    <w:p w:rsidR="00402F9E" w:rsidRDefault="00402F9E">
      <w:pPr>
        <w:numPr>
          <w:ilvl w:val="0"/>
          <w:numId w:val="3"/>
        </w:numPr>
        <w:tabs>
          <w:tab w:val="clear" w:pos="432"/>
        </w:tabs>
        <w:snapToGrid w:val="0"/>
        <w:spacing w:before="240" w:afterLines="50" w:after="120"/>
        <w:ind w:left="425" w:hanging="425"/>
        <w:jc w:val="both"/>
        <w:outlineLvl w:val="0"/>
        <w:rPr>
          <w:b/>
          <w:sz w:val="28"/>
        </w:rPr>
      </w:pPr>
      <w:r>
        <w:rPr>
          <w:b/>
          <w:sz w:val="28"/>
        </w:rPr>
        <w:t>Conclusion</w:t>
      </w:r>
    </w:p>
    <w:p w:rsidR="00402F9E" w:rsidRDefault="00402F9E" w:rsidP="004C3740">
      <w:pPr>
        <w:snapToGrid w:val="0"/>
        <w:spacing w:before="120" w:afterLines="50" w:after="120" w:line="300" w:lineRule="auto"/>
        <w:jc w:val="both"/>
        <w:rPr>
          <w:rFonts w:eastAsia="微软雅黑" w:hint="eastAsia"/>
          <w:sz w:val="20"/>
          <w:szCs w:val="20"/>
        </w:rPr>
      </w:pPr>
      <w:r>
        <w:rPr>
          <w:rFonts w:eastAsia="微软雅黑" w:hint="eastAsia"/>
          <w:sz w:val="20"/>
          <w:szCs w:val="20"/>
        </w:rPr>
        <w:t xml:space="preserve">In this contribution, we provide </w:t>
      </w:r>
      <w:r>
        <w:rPr>
          <w:rFonts w:eastAsia="微软雅黑"/>
          <w:sz w:val="20"/>
          <w:szCs w:val="20"/>
        </w:rPr>
        <w:t xml:space="preserve">the observations and proposals for </w:t>
      </w:r>
      <w:r w:rsidRPr="004C3740">
        <w:rPr>
          <w:rFonts w:hint="eastAsia"/>
          <w:sz w:val="20"/>
          <w:szCs w:val="20"/>
        </w:rPr>
        <w:t>enhancements</w:t>
      </w:r>
      <w:r>
        <w:rPr>
          <w:rFonts w:eastAsia="微软雅黑" w:hint="eastAsia"/>
          <w:sz w:val="20"/>
          <w:szCs w:val="20"/>
        </w:rPr>
        <w:t xml:space="preserve"> on beam management for multi-TRP</w:t>
      </w:r>
      <w:r>
        <w:rPr>
          <w:rFonts w:eastAsia="微软雅黑"/>
          <w:sz w:val="20"/>
          <w:szCs w:val="20"/>
        </w:rPr>
        <w:t>.</w:t>
      </w:r>
    </w:p>
    <w:p w:rsidR="004676D2" w:rsidRDefault="004676D2" w:rsidP="004676D2">
      <w:pPr>
        <w:spacing w:beforeLines="100" w:before="240" w:after="120" w:line="300" w:lineRule="auto"/>
        <w:jc w:val="both"/>
      </w:pPr>
      <w:r>
        <w:rPr>
          <w:b/>
          <w:i/>
          <w:sz w:val="20"/>
          <w:szCs w:val="20"/>
        </w:rPr>
        <w:t>Observation</w:t>
      </w:r>
      <w:r>
        <w:rPr>
          <w:rFonts w:hint="eastAsia"/>
          <w:b/>
          <w:i/>
          <w:sz w:val="20"/>
          <w:szCs w:val="20"/>
        </w:rPr>
        <w:t xml:space="preserve"> </w:t>
      </w:r>
      <w:r>
        <w:rPr>
          <w:b/>
          <w:i/>
          <w:sz w:val="20"/>
          <w:szCs w:val="20"/>
        </w:rPr>
        <w:t>1</w:t>
      </w:r>
      <w:r>
        <w:rPr>
          <w:rFonts w:hint="eastAsia"/>
          <w:b/>
          <w:i/>
          <w:sz w:val="20"/>
          <w:szCs w:val="20"/>
        </w:rPr>
        <w:t>:</w:t>
      </w:r>
      <w:r>
        <w:t xml:space="preserve"> </w:t>
      </w:r>
      <w:r>
        <w:rPr>
          <w:i/>
          <w:sz w:val="20"/>
          <w:szCs w:val="20"/>
        </w:rPr>
        <w:t>For one TRP, there may have multiple TRP panels sharing the same boresight and similar large scale properties, and consequently beam measurement for one out of the multiple panels (instead of each of the panels) is sufficient for supporting the subsequent CSI acquisition and data transmission.</w:t>
      </w:r>
    </w:p>
    <w:p w:rsidR="004676D2" w:rsidRDefault="004676D2" w:rsidP="004676D2">
      <w:pPr>
        <w:numPr>
          <w:ilvl w:val="1"/>
          <w:numId w:val="8"/>
        </w:numPr>
        <w:snapToGrid w:val="0"/>
        <w:spacing w:before="120" w:after="120" w:line="300" w:lineRule="auto"/>
        <w:ind w:left="709" w:hanging="289"/>
        <w:jc w:val="both"/>
        <w:rPr>
          <w:i/>
          <w:sz w:val="20"/>
          <w:szCs w:val="20"/>
        </w:rPr>
      </w:pPr>
      <w:r>
        <w:rPr>
          <w:i/>
          <w:sz w:val="20"/>
          <w:szCs w:val="20"/>
        </w:rPr>
        <w:t>In such case, the overhead of measurement RS and UL reporting can be significantly saved compared with per-panel per-TRP measurement.</w:t>
      </w:r>
    </w:p>
    <w:p w:rsidR="004676D2" w:rsidRDefault="004676D2" w:rsidP="004676D2">
      <w:pPr>
        <w:spacing w:beforeLines="50" w:before="120" w:after="120" w:line="300" w:lineRule="auto"/>
        <w:jc w:val="both"/>
        <w:rPr>
          <w:i/>
          <w:sz w:val="20"/>
          <w:szCs w:val="20"/>
        </w:rPr>
      </w:pPr>
      <w:r>
        <w:rPr>
          <w:b/>
          <w:i/>
          <w:sz w:val="20"/>
          <w:szCs w:val="20"/>
        </w:rPr>
        <w:t>Observation</w:t>
      </w:r>
      <w:r>
        <w:rPr>
          <w:rFonts w:hint="eastAsia"/>
          <w:b/>
          <w:i/>
          <w:sz w:val="20"/>
          <w:szCs w:val="20"/>
        </w:rPr>
        <w:t xml:space="preserve"> </w:t>
      </w:r>
      <w:r>
        <w:rPr>
          <w:b/>
          <w:i/>
          <w:sz w:val="20"/>
          <w:szCs w:val="20"/>
        </w:rPr>
        <w:t>2</w:t>
      </w:r>
      <w:r>
        <w:rPr>
          <w:rFonts w:hint="eastAsia"/>
          <w:b/>
          <w:i/>
          <w:sz w:val="20"/>
          <w:szCs w:val="20"/>
        </w:rPr>
        <w:t xml:space="preserve">: </w:t>
      </w:r>
      <w:r>
        <w:rPr>
          <w:i/>
          <w:sz w:val="20"/>
          <w:szCs w:val="20"/>
        </w:rPr>
        <w:t>Group-based reporting should be regarded as an essential solution for the case of multi-panel operation including both DL multi-panel reception and UL fast panel selection.</w:t>
      </w:r>
    </w:p>
    <w:p w:rsidR="004676D2" w:rsidRDefault="004676D2" w:rsidP="004676D2">
      <w:pPr>
        <w:numPr>
          <w:ilvl w:val="1"/>
          <w:numId w:val="8"/>
        </w:numPr>
        <w:snapToGrid w:val="0"/>
        <w:spacing w:before="50" w:after="120" w:line="300" w:lineRule="auto"/>
        <w:ind w:left="709" w:hanging="289"/>
        <w:jc w:val="both"/>
        <w:rPr>
          <w:i/>
          <w:sz w:val="20"/>
          <w:szCs w:val="20"/>
        </w:rPr>
      </w:pPr>
      <w:r>
        <w:rPr>
          <w:rFonts w:hint="eastAsia"/>
          <w:i/>
          <w:sz w:val="20"/>
          <w:szCs w:val="20"/>
        </w:rPr>
        <w:t>R</w:t>
      </w:r>
      <w:r>
        <w:rPr>
          <w:i/>
          <w:sz w:val="20"/>
          <w:szCs w:val="20"/>
        </w:rPr>
        <w:t>egarding criteria for group based reporting, the antenna group based reporting (Alt-2) is very beneficial for DL and UL panel-specific beam management, but beam group based reporting (Alt-1) is more suitable for optimizing inter-beam/panel interference.</w:t>
      </w:r>
    </w:p>
    <w:p w:rsidR="004676D2" w:rsidRDefault="004676D2" w:rsidP="004676D2">
      <w:pPr>
        <w:spacing w:beforeLines="50" w:before="120" w:afterLines="50" w:after="120"/>
        <w:jc w:val="both"/>
        <w:rPr>
          <w:b/>
          <w:i/>
          <w:sz w:val="20"/>
          <w:szCs w:val="20"/>
        </w:rPr>
      </w:pPr>
      <w:r>
        <w:rPr>
          <w:b/>
          <w:i/>
          <w:sz w:val="20"/>
          <w:szCs w:val="20"/>
        </w:rPr>
        <w:t xml:space="preserve">Observation 3: </w:t>
      </w:r>
      <w:r>
        <w:rPr>
          <w:i/>
          <w:sz w:val="20"/>
          <w:szCs w:val="20"/>
        </w:rPr>
        <w:t>From the evaluation results for group based reporting, it can be observed that:</w:t>
      </w:r>
    </w:p>
    <w:p w:rsidR="004676D2" w:rsidRDefault="004676D2" w:rsidP="004676D2">
      <w:pPr>
        <w:numPr>
          <w:ilvl w:val="1"/>
          <w:numId w:val="8"/>
        </w:numPr>
        <w:snapToGrid w:val="0"/>
        <w:spacing w:before="50" w:after="120" w:line="300" w:lineRule="auto"/>
        <w:ind w:left="709" w:hanging="289"/>
        <w:jc w:val="both"/>
        <w:rPr>
          <w:i/>
          <w:sz w:val="20"/>
          <w:szCs w:val="20"/>
        </w:rPr>
      </w:pPr>
      <w:r>
        <w:rPr>
          <w:i/>
          <w:sz w:val="20"/>
          <w:szCs w:val="20"/>
        </w:rPr>
        <w:t>Increase number of beams per group can bring significantly higher performance gain to combat blockage and UE mobility, especially for cell-edge UE in dense urban, through improving system flexibility with more candidate beams.</w:t>
      </w:r>
    </w:p>
    <w:p w:rsidR="004676D2" w:rsidRDefault="004676D2" w:rsidP="004C3740">
      <w:pPr>
        <w:numPr>
          <w:ilvl w:val="1"/>
          <w:numId w:val="8"/>
        </w:numPr>
        <w:snapToGrid w:val="0"/>
        <w:spacing w:before="50" w:after="120" w:line="300" w:lineRule="auto"/>
        <w:ind w:left="709" w:hanging="289"/>
        <w:jc w:val="both"/>
        <w:rPr>
          <w:i/>
          <w:sz w:val="20"/>
          <w:szCs w:val="20"/>
        </w:rPr>
      </w:pPr>
      <w:r>
        <w:rPr>
          <w:i/>
          <w:sz w:val="20"/>
          <w:szCs w:val="20"/>
        </w:rPr>
        <w:t>Increase number of groups can be more suitable for advanced UE with 3, 4 or more panels.</w:t>
      </w:r>
    </w:p>
    <w:p w:rsidR="004676D2" w:rsidRDefault="004676D2" w:rsidP="004676D2">
      <w:pPr>
        <w:spacing w:beforeLines="100" w:before="240" w:after="120" w:line="300" w:lineRule="auto"/>
        <w:jc w:val="both"/>
        <w:rPr>
          <w:i/>
          <w:sz w:val="20"/>
          <w:szCs w:val="20"/>
        </w:rPr>
      </w:pPr>
      <w:r>
        <w:rPr>
          <w:b/>
          <w:i/>
          <w:sz w:val="20"/>
          <w:szCs w:val="20"/>
        </w:rPr>
        <w:t>Proposal</w:t>
      </w:r>
      <w:r>
        <w:rPr>
          <w:rFonts w:hint="eastAsia"/>
          <w:b/>
          <w:i/>
          <w:sz w:val="20"/>
          <w:szCs w:val="20"/>
        </w:rPr>
        <w:t xml:space="preserve"> </w:t>
      </w:r>
      <w:r>
        <w:rPr>
          <w:b/>
          <w:i/>
          <w:sz w:val="20"/>
          <w:szCs w:val="20"/>
        </w:rPr>
        <w:t>1</w:t>
      </w:r>
      <w:r>
        <w:rPr>
          <w:rFonts w:hint="eastAsia"/>
          <w:b/>
          <w:i/>
          <w:sz w:val="20"/>
          <w:szCs w:val="20"/>
        </w:rPr>
        <w:t>:</w:t>
      </w:r>
      <w:r>
        <w:t xml:space="preserve"> </w:t>
      </w:r>
      <w:r>
        <w:rPr>
          <w:i/>
          <w:sz w:val="20"/>
          <w:szCs w:val="20"/>
        </w:rPr>
        <w:t>Information on simultaneous transmission capability from each of TRP can be indicated for the assist of DL beam determination in UE reporting.</w:t>
      </w:r>
    </w:p>
    <w:p w:rsidR="004676D2" w:rsidRDefault="004676D2" w:rsidP="004676D2">
      <w:pPr>
        <w:numPr>
          <w:ilvl w:val="1"/>
          <w:numId w:val="8"/>
        </w:numPr>
        <w:snapToGrid w:val="0"/>
        <w:spacing w:before="120" w:after="120" w:line="300" w:lineRule="auto"/>
        <w:ind w:left="709" w:hanging="289"/>
        <w:jc w:val="both"/>
        <w:rPr>
          <w:rFonts w:hint="eastAsia"/>
          <w:i/>
          <w:sz w:val="20"/>
          <w:szCs w:val="20"/>
        </w:rPr>
      </w:pPr>
      <w:r>
        <w:rPr>
          <w:rFonts w:hint="eastAsia"/>
          <w:i/>
          <w:sz w:val="20"/>
          <w:szCs w:val="20"/>
        </w:rPr>
        <w:t>S</w:t>
      </w:r>
      <w:r>
        <w:rPr>
          <w:i/>
          <w:sz w:val="20"/>
          <w:szCs w:val="20"/>
        </w:rPr>
        <w:t>tudy the configuration of beam measurement and reporting to achieve the indication of TRP related simultaneous transmission capability.</w:t>
      </w:r>
    </w:p>
    <w:p w:rsidR="004676D2" w:rsidRDefault="004676D2" w:rsidP="004676D2">
      <w:pPr>
        <w:spacing w:beforeLines="100" w:before="240" w:after="120" w:line="300" w:lineRule="auto"/>
        <w:jc w:val="both"/>
        <w:rPr>
          <w:i/>
          <w:sz w:val="20"/>
          <w:szCs w:val="20"/>
        </w:rPr>
      </w:pPr>
      <w:r>
        <w:rPr>
          <w:b/>
          <w:i/>
          <w:sz w:val="20"/>
          <w:szCs w:val="20"/>
        </w:rPr>
        <w:lastRenderedPageBreak/>
        <w:t xml:space="preserve">Proposal 2: </w:t>
      </w:r>
      <w:r>
        <w:rPr>
          <w:rFonts w:hint="eastAsia"/>
          <w:i/>
          <w:sz w:val="20"/>
          <w:szCs w:val="20"/>
        </w:rPr>
        <w:t xml:space="preserve"> </w:t>
      </w:r>
      <w:r>
        <w:rPr>
          <w:i/>
          <w:sz w:val="20"/>
          <w:szCs w:val="20"/>
        </w:rPr>
        <w:t>Extension of Rel-15 group based beam reporting should be considered to support more Tx beams and/or more groups to be reported in Rel-17 NR-FeMIMO.</w:t>
      </w:r>
    </w:p>
    <w:p w:rsidR="004676D2" w:rsidRDefault="004676D2" w:rsidP="004676D2">
      <w:pPr>
        <w:numPr>
          <w:ilvl w:val="1"/>
          <w:numId w:val="8"/>
        </w:numPr>
        <w:snapToGrid w:val="0"/>
        <w:spacing w:before="120" w:after="120" w:line="300" w:lineRule="auto"/>
        <w:ind w:left="709" w:hanging="289"/>
        <w:jc w:val="both"/>
        <w:rPr>
          <w:rFonts w:eastAsia="微软雅黑"/>
          <w:i/>
          <w:sz w:val="20"/>
          <w:szCs w:val="20"/>
        </w:rPr>
      </w:pPr>
      <w:r>
        <w:rPr>
          <w:rFonts w:eastAsia="微软雅黑"/>
          <w:i/>
          <w:sz w:val="20"/>
          <w:szCs w:val="20"/>
          <w:lang w:val="en-GB"/>
        </w:rPr>
        <w:t xml:space="preserve">Identify usages of Alt-1 (beam group based reporting) and Alt-2 (antenna group based reporting) in multi-panel and multi-TRP case, e.g., sDCI/mDCI, L1-RSRP/L1-SINR </w:t>
      </w:r>
      <w:r>
        <w:rPr>
          <w:i/>
          <w:sz w:val="20"/>
          <w:szCs w:val="20"/>
        </w:rPr>
        <w:t>reporting</w:t>
      </w:r>
      <w:r>
        <w:rPr>
          <w:rFonts w:eastAsia="微软雅黑"/>
          <w:i/>
          <w:sz w:val="20"/>
          <w:szCs w:val="20"/>
          <w:lang w:val="en-GB"/>
        </w:rPr>
        <w:t>.</w:t>
      </w:r>
      <w:r>
        <w:rPr>
          <w:rFonts w:eastAsia="微软雅黑" w:hint="eastAsia"/>
          <w:i/>
          <w:sz w:val="20"/>
          <w:szCs w:val="20"/>
        </w:rPr>
        <w:t xml:space="preserve"> </w:t>
      </w:r>
    </w:p>
    <w:p w:rsidR="004676D2" w:rsidRDefault="004676D2" w:rsidP="004676D2">
      <w:pPr>
        <w:spacing w:before="120" w:after="120" w:line="271" w:lineRule="auto"/>
        <w:ind w:right="11"/>
        <w:jc w:val="both"/>
        <w:rPr>
          <w:i/>
          <w:sz w:val="20"/>
          <w:szCs w:val="20"/>
        </w:rPr>
      </w:pPr>
      <w:r>
        <w:rPr>
          <w:b/>
          <w:i/>
          <w:sz w:val="20"/>
          <w:szCs w:val="20"/>
        </w:rPr>
        <w:t xml:space="preserve">Proposal 3: </w:t>
      </w:r>
      <w:r>
        <w:rPr>
          <w:rFonts w:hint="eastAsia"/>
          <w:i/>
          <w:sz w:val="20"/>
          <w:szCs w:val="20"/>
        </w:rPr>
        <w:t xml:space="preserve"> In</w:t>
      </w:r>
      <w:r>
        <w:rPr>
          <w:i/>
          <w:sz w:val="20"/>
          <w:szCs w:val="20"/>
        </w:rPr>
        <w:t xml:space="preserve"> multi-panel reception</w:t>
      </w:r>
      <w:r>
        <w:rPr>
          <w:rFonts w:hint="eastAsia"/>
          <w:i/>
          <w:sz w:val="20"/>
          <w:szCs w:val="20"/>
        </w:rPr>
        <w:t xml:space="preserve">, </w:t>
      </w:r>
      <w:r>
        <w:rPr>
          <w:i/>
          <w:sz w:val="20"/>
          <w:szCs w:val="20"/>
        </w:rPr>
        <w:t>DL channel(s) and RS(s) can be associated with the information about antenna group(s).</w:t>
      </w:r>
    </w:p>
    <w:p w:rsidR="004676D2" w:rsidRDefault="004676D2" w:rsidP="004676D2">
      <w:pPr>
        <w:numPr>
          <w:ilvl w:val="0"/>
          <w:numId w:val="8"/>
        </w:numPr>
        <w:spacing w:before="120" w:after="120" w:line="271" w:lineRule="auto"/>
        <w:ind w:right="11"/>
        <w:jc w:val="both"/>
        <w:rPr>
          <w:rFonts w:eastAsia="微软雅黑"/>
          <w:i/>
          <w:sz w:val="20"/>
          <w:szCs w:val="20"/>
        </w:rPr>
      </w:pPr>
      <w:r>
        <w:rPr>
          <w:rFonts w:eastAsia="微软雅黑"/>
          <w:i/>
          <w:sz w:val="20"/>
          <w:szCs w:val="20"/>
        </w:rPr>
        <w:t>Study mechanism(s), e.g., associating CORESET group(s) or TCI state(s) with antenna group(s).</w:t>
      </w:r>
    </w:p>
    <w:p w:rsidR="004676D2" w:rsidRPr="00BC086A" w:rsidRDefault="004676D2" w:rsidP="004676D2">
      <w:pPr>
        <w:spacing w:before="120" w:after="120" w:line="300" w:lineRule="auto"/>
        <w:ind w:right="11"/>
        <w:jc w:val="both"/>
        <w:rPr>
          <w:rFonts w:hint="eastAsia"/>
          <w:b/>
          <w:sz w:val="28"/>
          <w:szCs w:val="20"/>
        </w:rPr>
      </w:pPr>
      <w:r>
        <w:rPr>
          <w:b/>
          <w:i/>
          <w:sz w:val="20"/>
          <w:szCs w:val="20"/>
        </w:rPr>
        <w:t xml:space="preserve">Proposal 4: </w:t>
      </w:r>
      <w:r>
        <w:rPr>
          <w:rFonts w:hint="eastAsia"/>
          <w:i/>
          <w:sz w:val="20"/>
          <w:szCs w:val="20"/>
        </w:rPr>
        <w:t xml:space="preserve"> </w:t>
      </w:r>
      <w:r>
        <w:rPr>
          <w:rFonts w:eastAsia="微软雅黑"/>
          <w:i/>
          <w:sz w:val="20"/>
          <w:szCs w:val="20"/>
        </w:rPr>
        <w:t>Study mechanism or collision rules of simultaneous transmission of different DL channel(s) and RS(s) (e.g., PDCCH+PDSCH, PDSCH+PDSCH, PDSCH+CSI-RS, CSI-RS+CSI-RS) for the case of multi-TRP transmission with UE multi-panel reception.</w:t>
      </w:r>
    </w:p>
    <w:p w:rsidR="004676D2" w:rsidRDefault="004676D2" w:rsidP="004676D2">
      <w:pPr>
        <w:spacing w:before="120" w:after="120" w:line="271" w:lineRule="auto"/>
        <w:ind w:right="11"/>
        <w:jc w:val="both"/>
        <w:rPr>
          <w:rFonts w:eastAsia="微软雅黑"/>
          <w:i/>
          <w:sz w:val="20"/>
          <w:szCs w:val="20"/>
        </w:rPr>
      </w:pPr>
      <w:r>
        <w:rPr>
          <w:b/>
          <w:i/>
          <w:sz w:val="20"/>
          <w:szCs w:val="20"/>
        </w:rPr>
        <w:t xml:space="preserve">Proposal 5: </w:t>
      </w:r>
      <w:r>
        <w:rPr>
          <w:rFonts w:hint="eastAsia"/>
          <w:i/>
          <w:sz w:val="20"/>
          <w:szCs w:val="20"/>
        </w:rPr>
        <w:t xml:space="preserve"> </w:t>
      </w:r>
      <w:r>
        <w:rPr>
          <w:i/>
          <w:sz w:val="20"/>
          <w:szCs w:val="20"/>
        </w:rPr>
        <w:t xml:space="preserve">Study TRP-specific beam recovery procedure in order to </w:t>
      </w:r>
      <w:r w:rsidRPr="00BC086A">
        <w:rPr>
          <w:rFonts w:eastAsia="微软雅黑"/>
          <w:i/>
          <w:sz w:val="20"/>
          <w:szCs w:val="20"/>
        </w:rPr>
        <w:t>handle</w:t>
      </w:r>
      <w:r>
        <w:rPr>
          <w:i/>
          <w:sz w:val="20"/>
          <w:szCs w:val="20"/>
        </w:rPr>
        <w:t xml:space="preserve"> partial beam failure event</w:t>
      </w:r>
      <w:r>
        <w:rPr>
          <w:rFonts w:eastAsia="微软雅黑"/>
          <w:i/>
          <w:sz w:val="20"/>
          <w:szCs w:val="20"/>
        </w:rPr>
        <w:t>, e.g., for beam link(s) between a UE and one out of multiple serving TRPs.</w:t>
      </w:r>
    </w:p>
    <w:p w:rsidR="004676D2" w:rsidRDefault="004676D2" w:rsidP="004676D2">
      <w:pPr>
        <w:numPr>
          <w:ilvl w:val="0"/>
          <w:numId w:val="10"/>
        </w:numPr>
        <w:spacing w:before="120" w:after="120" w:line="271" w:lineRule="auto"/>
        <w:ind w:right="11"/>
        <w:jc w:val="both"/>
        <w:rPr>
          <w:rFonts w:eastAsia="微软雅黑"/>
          <w:i/>
          <w:sz w:val="20"/>
          <w:szCs w:val="20"/>
        </w:rPr>
      </w:pPr>
      <w:r>
        <w:rPr>
          <w:rFonts w:eastAsia="微软雅黑"/>
          <w:i/>
          <w:sz w:val="20"/>
          <w:szCs w:val="20"/>
        </w:rPr>
        <w:t>Identify an appropriate beam recovery procedure from the existing PCell-BFR and SCell-BFR, e.g., for signaling of beam failure recovery request.</w:t>
      </w:r>
    </w:p>
    <w:p w:rsidR="004676D2" w:rsidRDefault="004676D2" w:rsidP="004676D2">
      <w:pPr>
        <w:numPr>
          <w:ilvl w:val="0"/>
          <w:numId w:val="10"/>
        </w:numPr>
        <w:spacing w:before="120" w:after="120" w:line="271" w:lineRule="auto"/>
        <w:ind w:right="11"/>
        <w:jc w:val="both"/>
        <w:rPr>
          <w:rFonts w:eastAsia="微软雅黑"/>
          <w:i/>
          <w:sz w:val="20"/>
          <w:szCs w:val="20"/>
        </w:rPr>
      </w:pPr>
      <w:r>
        <w:rPr>
          <w:rFonts w:eastAsia="微软雅黑"/>
          <w:i/>
          <w:sz w:val="20"/>
          <w:szCs w:val="20"/>
        </w:rPr>
        <w:t>Study TRP-specific procedure for gNB response for beam failure recovery request as well as default UE behavior after receiving gNB response.</w:t>
      </w:r>
    </w:p>
    <w:p w:rsidR="00402F9E" w:rsidRDefault="00402F9E">
      <w:pPr>
        <w:numPr>
          <w:ilvl w:val="0"/>
          <w:numId w:val="3"/>
        </w:numPr>
        <w:tabs>
          <w:tab w:val="clear" w:pos="432"/>
        </w:tabs>
        <w:snapToGrid w:val="0"/>
        <w:spacing w:before="240" w:afterLines="50" w:after="120"/>
        <w:ind w:left="425" w:hanging="425"/>
        <w:jc w:val="both"/>
        <w:outlineLvl w:val="0"/>
        <w:rPr>
          <w:b/>
          <w:sz w:val="28"/>
        </w:rPr>
      </w:pPr>
      <w:r>
        <w:rPr>
          <w:b/>
          <w:sz w:val="28"/>
        </w:rPr>
        <w:t>References</w:t>
      </w:r>
    </w:p>
    <w:p w:rsidR="00402F9E" w:rsidRDefault="00402F9E">
      <w:pPr>
        <w:pStyle w:val="NoSpacing1"/>
        <w:snapToGrid w:val="0"/>
        <w:rPr>
          <w:rFonts w:hint="eastAsia"/>
          <w:sz w:val="20"/>
          <w:szCs w:val="20"/>
          <w:lang w:val="en-GB"/>
        </w:rPr>
      </w:pPr>
      <w:r>
        <w:rPr>
          <w:sz w:val="20"/>
          <w:szCs w:val="20"/>
          <w:lang w:val="en-GB"/>
        </w:rPr>
        <w:t>[</w:t>
      </w:r>
      <w:r>
        <w:rPr>
          <w:rFonts w:hint="eastAsia"/>
          <w:sz w:val="20"/>
          <w:szCs w:val="20"/>
        </w:rPr>
        <w:t>1</w:t>
      </w:r>
      <w:r>
        <w:rPr>
          <w:sz w:val="20"/>
          <w:szCs w:val="20"/>
          <w:lang w:val="en-GB"/>
        </w:rPr>
        <w:t xml:space="preserve">] </w:t>
      </w:r>
      <w:bookmarkStart w:id="3" w:name="_Ref481825863"/>
      <w:bookmarkStart w:id="4" w:name="_Ref485106734"/>
      <w:r>
        <w:rPr>
          <w:sz w:val="20"/>
          <w:szCs w:val="20"/>
        </w:rPr>
        <w:t>RP-193133</w:t>
      </w:r>
      <w:r>
        <w:rPr>
          <w:rFonts w:hint="eastAsia"/>
          <w:sz w:val="20"/>
          <w:szCs w:val="20"/>
        </w:rPr>
        <w:t>,</w:t>
      </w:r>
      <w:r>
        <w:rPr>
          <w:sz w:val="20"/>
          <w:szCs w:val="20"/>
        </w:rPr>
        <w:t xml:space="preserve"> New WID: Further enhancements on MIMO for NR, Samsung</w:t>
      </w:r>
      <w:bookmarkEnd w:id="3"/>
      <w:bookmarkEnd w:id="4"/>
      <w:r>
        <w:rPr>
          <w:sz w:val="20"/>
          <w:szCs w:val="20"/>
          <w:lang w:val="en-GB"/>
        </w:rPr>
        <w:t xml:space="preserve"> </w:t>
      </w:r>
      <w:bookmarkStart w:id="5" w:name="_Ref477945819"/>
    </w:p>
    <w:bookmarkEnd w:id="5"/>
    <w:p w:rsidR="00402F9E" w:rsidRDefault="00402F9E">
      <w:pPr>
        <w:pStyle w:val="NoSpacing1"/>
        <w:snapToGrid w:val="0"/>
        <w:rPr>
          <w:sz w:val="20"/>
          <w:szCs w:val="20"/>
          <w:lang w:val="en-GB"/>
        </w:rPr>
      </w:pPr>
    </w:p>
    <w:p w:rsidR="00402F9E" w:rsidRDefault="00402F9E">
      <w:pPr>
        <w:numPr>
          <w:ilvl w:val="0"/>
          <w:numId w:val="3"/>
        </w:numPr>
        <w:tabs>
          <w:tab w:val="clear" w:pos="432"/>
        </w:tabs>
        <w:snapToGrid w:val="0"/>
        <w:spacing w:before="240" w:afterLines="50" w:after="120"/>
        <w:ind w:left="425" w:hanging="425"/>
        <w:jc w:val="both"/>
        <w:outlineLvl w:val="0"/>
        <w:rPr>
          <w:b/>
          <w:sz w:val="28"/>
        </w:rPr>
      </w:pPr>
      <w:r>
        <w:rPr>
          <w:rFonts w:hint="eastAsia"/>
          <w:b/>
          <w:sz w:val="28"/>
        </w:rPr>
        <w:t xml:space="preserve">Appendix: </w:t>
      </w:r>
    </w:p>
    <w:p w:rsidR="00402F9E" w:rsidRDefault="00402F9E">
      <w:pPr>
        <w:pStyle w:val="TH"/>
        <w:rPr>
          <w:rFonts w:ascii="Times New Roman" w:hAnsi="Times New Roman"/>
          <w:b w:val="0"/>
          <w:lang w:eastAsia="ja-JP"/>
        </w:rPr>
      </w:pPr>
      <w:r>
        <w:rPr>
          <w:rFonts w:ascii="Times New Roman" w:hAnsi="Times New Roman"/>
          <w:lang w:eastAsia="ja-JP"/>
        </w:rPr>
        <w:t>Table 3</w:t>
      </w:r>
      <w:r>
        <w:rPr>
          <w:rFonts w:ascii="Times New Roman" w:hAnsi="Times New Roman"/>
          <w:b w:val="0"/>
          <w:lang w:eastAsia="ja-JP"/>
        </w:rPr>
        <w:t xml:space="preserve"> Simulation assumptions for i</w:t>
      </w:r>
      <w:r>
        <w:rPr>
          <w:rFonts w:ascii="Times New Roman" w:hAnsi="Times New Roman" w:hint="eastAsia"/>
          <w:b w:val="0"/>
          <w:lang w:eastAsia="ja-JP"/>
        </w:rPr>
        <w:t>ndoor-hot</w:t>
      </w:r>
      <w:r>
        <w:rPr>
          <w:rFonts w:ascii="Times New Roman" w:hAnsi="Times New Roman"/>
          <w:b w:val="0"/>
          <w:lang w:eastAsia="ja-JP"/>
        </w:rPr>
        <w:t>s</w:t>
      </w:r>
      <w:r>
        <w:rPr>
          <w:rFonts w:ascii="Times New Roman" w:hAnsi="Times New Roman" w:hint="eastAsia"/>
          <w:b w:val="0"/>
          <w:lang w:eastAsia="ja-JP"/>
        </w:rPr>
        <w:t>pot system</w:t>
      </w:r>
      <w:r>
        <w:rPr>
          <w:rFonts w:ascii="Times New Roman" w:hAnsi="Times New Roman"/>
          <w:b w:val="0"/>
          <w:lang w:eastAsia="ja-JP"/>
        </w:rPr>
        <w:t>-level evaluation</w:t>
      </w:r>
    </w:p>
    <w:tbl>
      <w:tblPr>
        <w:tblW w:w="0" w:type="auto"/>
        <w:tblInd w:w="117" w:type="dxa"/>
        <w:tblLayout w:type="fixed"/>
        <w:tblCellMar>
          <w:left w:w="0" w:type="dxa"/>
          <w:right w:w="0" w:type="dxa"/>
        </w:tblCellMar>
        <w:tblLook w:val="0000" w:firstRow="0" w:lastRow="0" w:firstColumn="0" w:lastColumn="0" w:noHBand="0" w:noVBand="0"/>
      </w:tblPr>
      <w:tblGrid>
        <w:gridCol w:w="2223"/>
        <w:gridCol w:w="7228"/>
      </w:tblGrid>
      <w:tr w:rsidR="00402F9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tcPr>
          <w:p w:rsidR="00402F9E" w:rsidRDefault="00402F9E">
            <w:pPr>
              <w:rPr>
                <w:rFonts w:ascii="Arial" w:hAnsi="Arial" w:cs="Arial"/>
                <w:b/>
                <w:bCs/>
                <w:sz w:val="18"/>
                <w:szCs w:val="18"/>
                <w:lang w:eastAsia="ja-JP"/>
              </w:rPr>
            </w:pPr>
            <w:r>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tcPr>
          <w:p w:rsidR="00402F9E" w:rsidRDefault="00402F9E">
            <w:pPr>
              <w:rPr>
                <w:rFonts w:ascii="Arial" w:hAnsi="Arial" w:cs="Arial"/>
                <w:b/>
                <w:bCs/>
                <w:sz w:val="18"/>
                <w:szCs w:val="18"/>
                <w:lang w:eastAsia="ja-JP"/>
              </w:rPr>
            </w:pPr>
            <w:r>
              <w:rPr>
                <w:rFonts w:ascii="Arial" w:hAnsi="Arial" w:cs="Arial"/>
                <w:b/>
                <w:bCs/>
                <w:sz w:val="18"/>
                <w:szCs w:val="18"/>
                <w:lang w:eastAsia="ja-JP"/>
              </w:rPr>
              <w:t>Values or assumptions</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sz w:val="18"/>
                <w:szCs w:val="18"/>
              </w:rPr>
            </w:pPr>
            <w:r>
              <w:rPr>
                <w:rFonts w:ascii="Arial" w:hAnsi="Arial" w:cs="Arial"/>
                <w:sz w:val="18"/>
                <w:szCs w:val="18"/>
                <w:lang w:eastAsia="ja-JP"/>
              </w:rPr>
              <w:t>30 GHz</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rPr>
            </w:pPr>
            <w:r>
              <w:rPr>
                <w:rFonts w:ascii="Arial" w:hAnsi="Arial" w:cs="Arial" w:hint="eastAsia"/>
                <w:b/>
                <w:sz w:val="18"/>
                <w:szCs w:val="18"/>
              </w:rPr>
              <w:t>Mode</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sz w:val="18"/>
                <w:szCs w:val="18"/>
                <w:lang w:eastAsia="ja-JP"/>
              </w:rPr>
            </w:pPr>
            <w:r>
              <w:rPr>
                <w:rFonts w:ascii="Arial" w:hAnsi="Arial" w:cs="Arial" w:hint="eastAsia"/>
                <w:sz w:val="18"/>
                <w:szCs w:val="18"/>
                <w:lang w:eastAsia="ja-JP"/>
              </w:rPr>
              <w:t>DL only</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rPr>
            </w:pPr>
            <w:r>
              <w:rPr>
                <w:rFonts w:ascii="Arial" w:hAnsi="Arial" w:cs="Arial" w:hint="eastAsia"/>
                <w:b/>
                <w:sz w:val="18"/>
                <w:szCs w:val="18"/>
              </w:rPr>
              <w:t>Bandwidth</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sz w:val="18"/>
                <w:szCs w:val="18"/>
                <w:lang w:eastAsia="ja-JP"/>
              </w:rPr>
            </w:pPr>
            <w:r>
              <w:rPr>
                <w:rFonts w:ascii="Arial" w:hAnsi="Arial" w:cs="Arial"/>
                <w:sz w:val="18"/>
                <w:szCs w:val="18"/>
                <w:lang w:eastAsia="ja-JP"/>
              </w:rPr>
              <w:t>8</w:t>
            </w:r>
            <w:r>
              <w:rPr>
                <w:rFonts w:ascii="Arial" w:hAnsi="Arial" w:cs="Arial" w:hint="eastAsia"/>
                <w:sz w:val="18"/>
                <w:szCs w:val="18"/>
                <w:lang w:eastAsia="ja-JP"/>
              </w:rPr>
              <w:t>0MHz</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rPr>
            </w:pPr>
            <w:r>
              <w:rPr>
                <w:rFonts w:ascii="Arial" w:hAnsi="Arial" w:cs="Arial" w:hint="eastAsia"/>
                <w:b/>
                <w:sz w:val="18"/>
                <w:szCs w:val="18"/>
              </w:rPr>
              <w:t>S</w:t>
            </w:r>
            <w:r>
              <w:rPr>
                <w:rFonts w:ascii="Arial" w:hAnsi="Arial" w:cs="Arial"/>
                <w:b/>
                <w:sz w:val="18"/>
                <w:szCs w:val="18"/>
              </w:rPr>
              <w:t xml:space="preserve">ubcarrier </w:t>
            </w:r>
            <w:r>
              <w:rPr>
                <w:rFonts w:ascii="Arial" w:hAnsi="Arial" w:cs="Arial" w:hint="eastAsia"/>
                <w:b/>
                <w:sz w:val="18"/>
                <w:szCs w:val="18"/>
              </w:rPr>
              <w:t>S</w:t>
            </w:r>
            <w:r>
              <w:rPr>
                <w:rFonts w:ascii="Arial" w:hAnsi="Arial" w:cs="Arial"/>
                <w:b/>
                <w:sz w:val="18"/>
                <w:szCs w:val="18"/>
              </w:rPr>
              <w:t>pacing</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sz w:val="18"/>
                <w:szCs w:val="18"/>
                <w:lang w:eastAsia="ja-JP"/>
              </w:rPr>
            </w:pPr>
            <w:r>
              <w:rPr>
                <w:rFonts w:ascii="Arial" w:hAnsi="Arial" w:cs="Arial"/>
                <w:sz w:val="18"/>
                <w:szCs w:val="18"/>
                <w:lang w:eastAsia="ja-JP"/>
              </w:rPr>
              <w:t>120</w:t>
            </w:r>
            <w:r>
              <w:rPr>
                <w:rFonts w:ascii="Arial" w:hAnsi="Arial" w:cs="Arial" w:hint="eastAsia"/>
                <w:sz w:val="18"/>
                <w:szCs w:val="18"/>
                <w:lang w:eastAsia="ja-JP"/>
              </w:rPr>
              <w:t>kHz</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sz w:val="18"/>
                <w:szCs w:val="18"/>
              </w:rPr>
            </w:pPr>
            <w:r>
              <w:rPr>
                <w:rFonts w:ascii="Arial" w:hAnsi="Arial" w:cs="Arial"/>
                <w:sz w:val="18"/>
                <w:szCs w:val="18"/>
              </w:rPr>
              <w:t>I</w:t>
            </w:r>
            <w:r>
              <w:rPr>
                <w:rFonts w:ascii="Arial" w:hAnsi="Arial" w:cs="Arial" w:hint="eastAsia"/>
                <w:sz w:val="18"/>
                <w:szCs w:val="18"/>
              </w:rPr>
              <w:t>ndoor in TR 38.900</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b/>
                <w:sz w:val="18"/>
                <w:szCs w:val="18"/>
                <w:lang w:eastAsia="ja-JP"/>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sz w:val="18"/>
                <w:szCs w:val="18"/>
                <w:lang w:eastAsia="ja-JP"/>
              </w:rPr>
            </w:pPr>
            <w:r>
              <w:rPr>
                <w:rFonts w:ascii="Arial" w:hAnsi="Arial" w:cs="Arial" w:hint="eastAsia"/>
                <w:sz w:val="18"/>
                <w:szCs w:val="18"/>
              </w:rPr>
              <w:t xml:space="preserve">One </w:t>
            </w:r>
            <w:r>
              <w:rPr>
                <w:rFonts w:ascii="Arial" w:hAnsi="Arial" w:cs="Arial"/>
                <w:sz w:val="18"/>
                <w:szCs w:val="18"/>
                <w:lang w:eastAsia="ja-JP"/>
              </w:rPr>
              <w:t>TXRU per panel per polarization</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b/>
                <w:sz w:val="18"/>
                <w:szCs w:val="18"/>
                <w:lang w:eastAsia="ja-JP"/>
              </w:rPr>
              <w:t>TXRU mapping weights</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sz w:val="18"/>
                <w:szCs w:val="18"/>
              </w:rPr>
            </w:pPr>
            <w:r>
              <w:rPr>
                <w:rFonts w:ascii="Arial" w:hAnsi="Arial" w:cs="Arial"/>
                <w:sz w:val="18"/>
                <w:szCs w:val="18"/>
                <w:lang w:eastAsia="ja-JP"/>
              </w:rPr>
              <w:t xml:space="preserve">2D TXRU virtualization weights </w:t>
            </w:r>
            <w:r>
              <w:rPr>
                <w:rFonts w:ascii="Arial" w:hAnsi="Arial" w:cs="Arial" w:hint="eastAsia"/>
                <w:sz w:val="18"/>
                <w:szCs w:val="18"/>
                <w:lang w:eastAsia="ja-JP"/>
              </w:rPr>
              <w:t xml:space="preserve">for each panel is the </w:t>
            </w:r>
            <w:r>
              <w:rPr>
                <w:rFonts w:ascii="Arial" w:hAnsi="Arial" w:cs="Arial"/>
                <w:sz w:val="18"/>
                <w:szCs w:val="18"/>
                <w:lang w:eastAsia="ja-JP"/>
              </w:rPr>
              <w:t>Kronecker product between vertical and horizontal weight vectors</w:t>
            </w:r>
            <w:r>
              <w:rPr>
                <w:rFonts w:ascii="Arial" w:hAnsi="Arial" w:cs="Arial" w:hint="eastAsia"/>
                <w:sz w:val="18"/>
                <w:szCs w:val="18"/>
                <w:lang w:eastAsia="ja-JP"/>
              </w:rPr>
              <w:t xml:space="preserve"> </w:t>
            </w:r>
            <w:r>
              <w:rPr>
                <w:rFonts w:ascii="Arial" w:hAnsi="Arial" w:cs="Arial"/>
                <w:sz w:val="18"/>
                <w:szCs w:val="18"/>
                <w:lang w:eastAsia="ja-JP"/>
              </w:rPr>
              <w:t>taken from DFT</w:t>
            </w:r>
            <w:r>
              <w:rPr>
                <w:rFonts w:ascii="Arial" w:hAnsi="Arial" w:cs="Arial" w:hint="eastAsia"/>
                <w:sz w:val="18"/>
                <w:szCs w:val="18"/>
                <w:lang w:eastAsia="ja-JP"/>
              </w:rPr>
              <w:t>, i.e., 2D sub-array</w:t>
            </w:r>
            <w:r>
              <w:rPr>
                <w:rFonts w:ascii="Arial" w:hAnsi="Arial" w:cs="Arial"/>
                <w:sz w:val="18"/>
                <w:szCs w:val="18"/>
                <w:lang w:eastAsia="ja-JP"/>
              </w:rPr>
              <w:t xml:space="preserve"> partition model defined in TR36.897.</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rPr>
            </w:pPr>
            <w:r>
              <w:rPr>
                <w:rFonts w:ascii="Arial" w:hAnsi="Arial" w:cs="Arial"/>
                <w:b/>
                <w:sz w:val="18"/>
                <w:szCs w:val="18"/>
                <w:lang w:eastAsia="ja-JP"/>
              </w:rPr>
              <w:t>Criteria for beam selection</w:t>
            </w:r>
            <w:r>
              <w:rPr>
                <w:rFonts w:ascii="Arial" w:hAnsi="Arial" w:cs="Arial" w:hint="eastAsia"/>
                <w:b/>
                <w:sz w:val="18"/>
                <w:szCs w:val="18"/>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sz w:val="18"/>
                <w:szCs w:val="18"/>
                <w:lang w:eastAsia="ja-JP"/>
              </w:rPr>
            </w:pPr>
            <w:r>
              <w:rPr>
                <w:rFonts w:ascii="Arial" w:hAnsi="Arial" w:cs="Arial"/>
                <w:sz w:val="18"/>
                <w:szCs w:val="18"/>
                <w:lang w:eastAsia="ja-JP"/>
              </w:rPr>
              <w:t xml:space="preserve">Select </w:t>
            </w:r>
            <w:r>
              <w:rPr>
                <w:rFonts w:ascii="Arial" w:hAnsi="Arial" w:cs="Arial" w:hint="eastAsia"/>
                <w:sz w:val="18"/>
                <w:szCs w:val="18"/>
                <w:lang w:eastAsia="ja-JP"/>
              </w:rPr>
              <w:t xml:space="preserve">the best </w:t>
            </w:r>
            <w:r>
              <w:rPr>
                <w:rFonts w:ascii="Arial" w:hAnsi="Arial" w:cs="Arial"/>
                <w:sz w:val="18"/>
                <w:szCs w:val="18"/>
                <w:lang w:eastAsia="ja-JP"/>
              </w:rPr>
              <w:t xml:space="preserve">beam </w:t>
            </w:r>
            <w:r>
              <w:rPr>
                <w:rFonts w:ascii="Arial" w:hAnsi="Arial" w:cs="Arial" w:hint="eastAsia"/>
                <w:sz w:val="18"/>
                <w:szCs w:val="18"/>
                <w:lang w:eastAsia="ja-JP"/>
              </w:rPr>
              <w:t xml:space="preserve">pair </w:t>
            </w:r>
            <w:r>
              <w:rPr>
                <w:rFonts w:ascii="Arial" w:hAnsi="Arial" w:cs="Arial"/>
                <w:sz w:val="18"/>
                <w:szCs w:val="18"/>
                <w:lang w:eastAsia="ja-JP"/>
              </w:rPr>
              <w:t>among the limited set of DFT beams</w:t>
            </w:r>
            <w:r>
              <w:rPr>
                <w:rFonts w:ascii="Arial" w:hAnsi="Arial" w:cs="Arial" w:hint="eastAsia"/>
                <w:sz w:val="18"/>
                <w:szCs w:val="18"/>
                <w:lang w:eastAsia="ja-JP"/>
              </w:rPr>
              <w:t xml:space="preserve">, </w:t>
            </w:r>
            <w:r>
              <w:rPr>
                <w:rFonts w:ascii="Arial" w:hAnsi="Arial" w:cs="Arial"/>
                <w:sz w:val="18"/>
                <w:szCs w:val="18"/>
                <w:lang w:eastAsia="ja-JP"/>
              </w:rPr>
              <w:t>based on the criteria of maximizing receive power after beamforming.</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b/>
                <w:sz w:val="18"/>
                <w:szCs w:val="18"/>
                <w:lang w:eastAsia="ja-JP"/>
              </w:rPr>
              <w:t>Constraints</w:t>
            </w:r>
            <w:r>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spacing w:after="120"/>
              <w:jc w:val="both"/>
              <w:rPr>
                <w:rFonts w:ascii="Arial" w:hAnsi="Arial" w:cs="Arial"/>
                <w:sz w:val="18"/>
                <w:szCs w:val="18"/>
              </w:rPr>
            </w:pPr>
            <w:r>
              <w:rPr>
                <w:rFonts w:ascii="Arial" w:hAnsi="Arial" w:cs="Arial"/>
                <w:sz w:val="18"/>
                <w:szCs w:val="18"/>
              </w:rPr>
              <w:t>Two UE panels are attached with two respective TRP.</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402F9E" w:rsidRDefault="00402F9E">
            <w:pPr>
              <w:rPr>
                <w:sz w:val="20"/>
                <w:szCs w:val="20"/>
              </w:rPr>
            </w:pPr>
            <w:r>
              <w:rPr>
                <w:rFonts w:ascii="Arial" w:hAnsi="Arial" w:cs="Arial" w:hint="eastAsia"/>
                <w:b/>
                <w:sz w:val="18"/>
                <w:szCs w:val="18"/>
                <w:lang w:eastAsia="ja-JP"/>
              </w:rPr>
              <w:t>ISD</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vAlign w:val="center"/>
          </w:tcPr>
          <w:p w:rsidR="00402F9E" w:rsidRDefault="00402F9E">
            <w:pPr>
              <w:pStyle w:val="NoSpacing"/>
              <w:rPr>
                <w:rFonts w:ascii="Times New Roman" w:hAnsi="Times New Roman"/>
                <w:sz w:val="20"/>
                <w:szCs w:val="20"/>
              </w:rPr>
            </w:pPr>
            <w:r>
              <w:rPr>
                <w:rFonts w:ascii="Times New Roman" w:hAnsi="Times New Roman" w:hint="eastAsia"/>
                <w:sz w:val="20"/>
                <w:szCs w:val="20"/>
              </w:rPr>
              <w:t>20m</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hint="eastAsia"/>
                <w:b/>
                <w:sz w:val="18"/>
                <w:szCs w:val="18"/>
                <w:lang w:eastAsia="ja-JP"/>
              </w:rPr>
              <w:t>BS Tx power</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402F9E" w:rsidRDefault="00402F9E">
            <w:pPr>
              <w:rPr>
                <w:rFonts w:ascii="Arial" w:hAnsi="Arial" w:cs="Arial"/>
                <w:sz w:val="18"/>
                <w:szCs w:val="18"/>
                <w:lang w:eastAsia="ja-JP"/>
              </w:rPr>
            </w:pPr>
            <w:r>
              <w:rPr>
                <w:rFonts w:ascii="Arial" w:hAnsi="Arial" w:cs="Arial" w:hint="eastAsia"/>
                <w:sz w:val="18"/>
                <w:szCs w:val="18"/>
                <w:lang w:eastAsia="ja-JP"/>
              </w:rPr>
              <w:t>23dBm</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hint="eastAsia"/>
                <w:b/>
                <w:sz w:val="18"/>
                <w:szCs w:val="18"/>
                <w:lang w:eastAsia="ja-JP"/>
              </w:rPr>
              <w:t xml:space="preserve">BS </w:t>
            </w:r>
            <w:r>
              <w:rPr>
                <w:rFonts w:ascii="Arial" w:hAnsi="Arial" w:cs="Arial"/>
                <w:b/>
                <w:sz w:val="18"/>
                <w:szCs w:val="18"/>
                <w:lang w:eastAsia="ja-JP"/>
              </w:rPr>
              <w:t>Antenna Configuration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402F9E" w:rsidRDefault="00402F9E">
            <w:pPr>
              <w:rPr>
                <w:rFonts w:ascii="Arial" w:hAnsi="Arial" w:cs="Arial"/>
                <w:sz w:val="18"/>
                <w:szCs w:val="18"/>
                <w:lang w:eastAsia="ja-JP"/>
              </w:rPr>
            </w:pPr>
            <w:r>
              <w:rPr>
                <w:rFonts w:ascii="Arial" w:hAnsi="Arial" w:cs="Arial"/>
                <w:sz w:val="18"/>
                <w:szCs w:val="18"/>
                <w:lang w:eastAsia="ja-JP"/>
              </w:rPr>
              <w:t>(M,N,P,Mg,Ng) = (4,8,2,1,1), (dV,dH) = (0.5, 0.5)λ</w:t>
            </w:r>
          </w:p>
          <w:p w:rsidR="00402F9E" w:rsidRDefault="00402F9E">
            <w:pPr>
              <w:rPr>
                <w:rFonts w:ascii="Arial" w:hAnsi="Arial" w:cs="Arial"/>
                <w:sz w:val="18"/>
                <w:szCs w:val="18"/>
              </w:rPr>
            </w:pPr>
            <w:r>
              <w:rPr>
                <w:rFonts w:ascii="Arial" w:hAnsi="Arial" w:cs="Arial"/>
                <w:sz w:val="18"/>
                <w:szCs w:val="18"/>
                <w:lang w:eastAsia="ja-JP"/>
              </w:rPr>
              <w:t>Boresight direction is perpendicular to the ceiling</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hint="eastAsia"/>
                <w:b/>
                <w:sz w:val="18"/>
                <w:szCs w:val="18"/>
                <w:lang w:eastAsia="ja-JP"/>
              </w:rPr>
              <w:t>UE Configuration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402F9E" w:rsidRDefault="00402F9E">
            <w:pPr>
              <w:rPr>
                <w:rFonts w:ascii="Arial" w:hAnsi="Arial" w:cs="Arial"/>
                <w:sz w:val="18"/>
                <w:szCs w:val="18"/>
              </w:rPr>
            </w:pPr>
            <w:r>
              <w:rPr>
                <w:rFonts w:ascii="Arial" w:hAnsi="Arial" w:cs="Arial"/>
                <w:sz w:val="20"/>
                <w:szCs w:val="20"/>
              </w:rPr>
              <w:t xml:space="preserve">(M, N, P, Mg, Ng) = (2, 4, 2, 1, 2); </w:t>
            </w:r>
            <w:r>
              <w:rPr>
                <w:rFonts w:ascii="Arial" w:eastAsia="Malgun Gothic" w:hAnsi="Arial" w:cs="Arial"/>
                <w:kern w:val="24"/>
                <w:sz w:val="20"/>
                <w:szCs w:val="20"/>
                <w:lang w:val="sv-SE"/>
              </w:rPr>
              <w:t>(d</w:t>
            </w:r>
            <w:r>
              <w:rPr>
                <w:rFonts w:ascii="Arial" w:eastAsia="Malgun Gothic" w:hAnsi="Arial" w:cs="Arial"/>
                <w:kern w:val="24"/>
                <w:position w:val="-6"/>
                <w:sz w:val="20"/>
                <w:szCs w:val="20"/>
                <w:vertAlign w:val="subscript"/>
                <w:lang w:val="sv-SE"/>
              </w:rPr>
              <w:t>V</w:t>
            </w:r>
            <w:r>
              <w:rPr>
                <w:rFonts w:ascii="Arial" w:eastAsia="Malgun Gothic" w:hAnsi="Arial" w:cs="Arial"/>
                <w:kern w:val="24"/>
                <w:sz w:val="20"/>
                <w:szCs w:val="20"/>
                <w:lang w:val="sv-SE"/>
              </w:rPr>
              <w:t>,d</w:t>
            </w:r>
            <w:r>
              <w:rPr>
                <w:rFonts w:ascii="Arial" w:eastAsia="Malgun Gothic" w:hAnsi="Arial" w:cs="Arial"/>
                <w:kern w:val="24"/>
                <w:position w:val="-6"/>
                <w:sz w:val="20"/>
                <w:szCs w:val="20"/>
                <w:vertAlign w:val="subscript"/>
                <w:lang w:val="sv-SE"/>
              </w:rPr>
              <w:t>H</w:t>
            </w:r>
            <w:r>
              <w:rPr>
                <w:rFonts w:ascii="Arial" w:eastAsia="Malgun Gothic" w:hAnsi="Arial" w:cs="Arial"/>
                <w:kern w:val="24"/>
                <w:sz w:val="20"/>
                <w:szCs w:val="20"/>
                <w:lang w:val="sv-SE"/>
              </w:rPr>
              <w:t>) = (0.5, 0.5)</w:t>
            </w:r>
            <w:r>
              <w:rPr>
                <w:rFonts w:ascii="Arial" w:eastAsia="Malgun Gothic" w:hAnsi="Arial" w:cs="Arial"/>
                <w:kern w:val="24"/>
                <w:sz w:val="20"/>
                <w:szCs w:val="20"/>
              </w:rPr>
              <w:t>λ</w:t>
            </w:r>
            <w:r>
              <w:rPr>
                <w:rFonts w:ascii="Arial" w:eastAsia="Malgun Gothic" w:hAnsi="Arial" w:cs="Arial"/>
                <w:kern w:val="24"/>
                <w:sz w:val="20"/>
                <w:szCs w:val="20"/>
                <w:lang w:val="sv-SE"/>
              </w:rPr>
              <w:t>. (d</w:t>
            </w:r>
            <w:r>
              <w:rPr>
                <w:rFonts w:ascii="Arial" w:eastAsia="Malgun Gothic" w:hAnsi="Arial" w:cs="Arial"/>
                <w:kern w:val="24"/>
                <w:position w:val="-6"/>
                <w:sz w:val="20"/>
                <w:szCs w:val="20"/>
                <w:vertAlign w:val="subscript"/>
                <w:lang w:val="sv-SE"/>
              </w:rPr>
              <w:t>g,V</w:t>
            </w:r>
            <w:r>
              <w:rPr>
                <w:rFonts w:ascii="Arial" w:eastAsia="Malgun Gothic" w:hAnsi="Arial" w:cs="Arial"/>
                <w:kern w:val="24"/>
                <w:sz w:val="20"/>
                <w:szCs w:val="20"/>
                <w:lang w:val="sv-SE"/>
              </w:rPr>
              <w:t>,d</w:t>
            </w:r>
            <w:r>
              <w:rPr>
                <w:rFonts w:ascii="Arial" w:eastAsia="Malgun Gothic" w:hAnsi="Arial" w:cs="Arial"/>
                <w:kern w:val="24"/>
                <w:position w:val="-6"/>
                <w:sz w:val="20"/>
                <w:szCs w:val="20"/>
                <w:vertAlign w:val="subscript"/>
                <w:lang w:val="sv-SE"/>
              </w:rPr>
              <w:t>g,H</w:t>
            </w:r>
            <w:r>
              <w:rPr>
                <w:rFonts w:ascii="Arial" w:eastAsia="Malgun Gothic" w:hAnsi="Arial" w:cs="Arial"/>
                <w:kern w:val="24"/>
                <w:sz w:val="20"/>
                <w:szCs w:val="20"/>
                <w:lang w:val="sv-SE"/>
              </w:rPr>
              <w:t>) = (0, 0)</w:t>
            </w:r>
            <w:r>
              <w:rPr>
                <w:rFonts w:ascii="Arial" w:eastAsia="Malgun Gothic" w:hAnsi="Arial" w:cs="Arial"/>
                <w:kern w:val="24"/>
                <w:sz w:val="20"/>
                <w:szCs w:val="20"/>
              </w:rPr>
              <w:t>λ</w:t>
            </w:r>
            <w:r>
              <w:rPr>
                <w:rFonts w:ascii="Arial" w:eastAsia="Malgun Gothic" w:hAnsi="Arial" w:cs="Arial"/>
                <w:kern w:val="24"/>
                <w:sz w:val="20"/>
                <w:szCs w:val="20"/>
                <w:lang w:val="sv-SE"/>
              </w:rPr>
              <w:t>.</w:t>
            </w:r>
            <w:r>
              <w:rPr>
                <w:rFonts w:ascii="Arial" w:hAnsi="Arial" w:cs="Arial"/>
                <w:sz w:val="20"/>
                <w:szCs w:val="20"/>
              </w:rPr>
              <w:t xml:space="preserve"> </w:t>
            </w:r>
            <w:r>
              <w:rPr>
                <w:rFonts w:ascii="Arial" w:eastAsia="Malgun Gothic" w:hAnsi="Arial" w:cs="Arial"/>
                <w:kern w:val="24"/>
                <w:sz w:val="20"/>
                <w:szCs w:val="20"/>
              </w:rPr>
              <w:lastRenderedPageBreak/>
              <w:t>Θ</w:t>
            </w:r>
            <w:r>
              <w:rPr>
                <w:rFonts w:ascii="Arial" w:eastAsia="Malgun Gothic" w:hAnsi="Arial" w:cs="Arial"/>
                <w:kern w:val="24"/>
                <w:position w:val="-6"/>
                <w:sz w:val="20"/>
                <w:szCs w:val="20"/>
                <w:vertAlign w:val="subscript"/>
              </w:rPr>
              <w:t>mg,ng</w:t>
            </w:r>
            <w:r>
              <w:rPr>
                <w:rFonts w:ascii="Arial" w:eastAsia="Malgun Gothic" w:hAnsi="Arial" w:cs="Arial"/>
                <w:kern w:val="24"/>
                <w:sz w:val="20"/>
                <w:szCs w:val="20"/>
              </w:rPr>
              <w:t>=90; Ω</w:t>
            </w:r>
            <w:r>
              <w:rPr>
                <w:rFonts w:ascii="Arial" w:eastAsia="Malgun Gothic" w:hAnsi="Arial" w:cs="Arial"/>
                <w:kern w:val="24"/>
                <w:position w:val="-6"/>
                <w:sz w:val="20"/>
                <w:szCs w:val="20"/>
                <w:vertAlign w:val="subscript"/>
              </w:rPr>
              <w:t>0,1</w:t>
            </w:r>
            <w:r>
              <w:rPr>
                <w:rFonts w:ascii="Arial" w:eastAsia="Malgun Gothic" w:hAnsi="Arial" w:cs="Arial"/>
                <w:kern w:val="24"/>
                <w:sz w:val="20"/>
                <w:szCs w:val="20"/>
              </w:rPr>
              <w:t>=Ω</w:t>
            </w:r>
            <w:r>
              <w:rPr>
                <w:rFonts w:ascii="Arial" w:eastAsia="Malgun Gothic" w:hAnsi="Arial" w:cs="Arial"/>
                <w:kern w:val="24"/>
                <w:position w:val="-6"/>
                <w:sz w:val="20"/>
                <w:szCs w:val="20"/>
                <w:vertAlign w:val="subscript"/>
              </w:rPr>
              <w:t>0,0</w:t>
            </w:r>
            <w:r>
              <w:rPr>
                <w:rFonts w:ascii="Arial" w:eastAsia="Malgun Gothic" w:hAnsi="Arial" w:cs="Arial"/>
                <w:kern w:val="24"/>
                <w:sz w:val="20"/>
                <w:szCs w:val="20"/>
              </w:rPr>
              <w:t>+180;</w:t>
            </w:r>
            <w:r>
              <w:rPr>
                <w:rFonts w:ascii="Arial" w:hAnsi="Arial" w:cs="Arial"/>
                <w:sz w:val="20"/>
                <w:szCs w:val="20"/>
              </w:rPr>
              <w:t xml:space="preserve"> The polarization angles are 0 and 90</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b/>
                <w:sz w:val="18"/>
                <w:szCs w:val="18"/>
                <w:lang w:eastAsia="ja-JP"/>
              </w:rPr>
              <w:lastRenderedPageBreak/>
              <w:t>UE array orientation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402F9E" w:rsidRDefault="00402F9E">
            <w:pPr>
              <w:adjustRightInd w:val="0"/>
              <w:snapToGrid w:val="0"/>
              <w:rPr>
                <w:rFonts w:ascii="Arial" w:hAnsi="Arial" w:cs="Arial"/>
                <w:sz w:val="18"/>
                <w:szCs w:val="18"/>
                <w:lang w:eastAsia="ja-JP"/>
              </w:rPr>
            </w:pPr>
            <w:r>
              <w:rPr>
                <w:rFonts w:eastAsia="Malgun Gothic" w:cs="Arial"/>
                <w:kern w:val="24"/>
                <w:sz w:val="18"/>
                <w:szCs w:val="21"/>
              </w:rPr>
              <w:t>Ω</w:t>
            </w:r>
            <w:r>
              <w:rPr>
                <w:rFonts w:eastAsia="Malgun Gothic" w:cs="Arial"/>
                <w:i/>
                <w:iCs/>
                <w:kern w:val="24"/>
                <w:position w:val="-6"/>
                <w:sz w:val="18"/>
                <w:szCs w:val="21"/>
                <w:vertAlign w:val="subscript"/>
              </w:rPr>
              <w:t>UT,</w:t>
            </w:r>
            <w:r>
              <w:rPr>
                <w:rFonts w:ascii="Symbol" w:eastAsia="Malgun Gothic" w:hAnsi="Symbol" w:cs="Arial"/>
                <w:i/>
                <w:iCs/>
                <w:kern w:val="24"/>
                <w:position w:val="-6"/>
                <w:sz w:val="18"/>
                <w:szCs w:val="21"/>
                <w:vertAlign w:val="subscript"/>
              </w:rPr>
              <w:t></w:t>
            </w:r>
            <w:r>
              <w:rPr>
                <w:rFonts w:ascii="Symbol" w:eastAsia="Malgun Gothic" w:hAnsi="Symbol" w:cs="Arial"/>
                <w:i/>
                <w:iCs/>
                <w:kern w:val="24"/>
                <w:position w:val="-6"/>
                <w:sz w:val="18"/>
                <w:szCs w:val="21"/>
                <w:vertAlign w:val="subscript"/>
              </w:rPr>
              <w:t></w:t>
            </w:r>
            <w:r>
              <w:rPr>
                <w:rFonts w:eastAsia="Malgun Gothic" w:cs="Arial"/>
                <w:i/>
                <w:iCs/>
                <w:kern w:val="24"/>
                <w:position w:val="-6"/>
                <w:sz w:val="18"/>
                <w:szCs w:val="21"/>
                <w:vertAlign w:val="subscript"/>
              </w:rPr>
              <w:t xml:space="preserve"> </w:t>
            </w:r>
            <w:r>
              <w:rPr>
                <w:rFonts w:ascii="Arial" w:eastAsia="MS Mincho" w:hAnsi="Arial" w:cs="Arial"/>
                <w:kern w:val="24"/>
                <w:sz w:val="18"/>
                <w:szCs w:val="21"/>
              </w:rPr>
              <w:t>uniformly distributed on [0,360] degree,</w:t>
            </w:r>
            <w:r>
              <w:rPr>
                <w:rFonts w:ascii="Arial" w:eastAsia="MS Mincho" w:hAnsi="Arial"/>
                <w:kern w:val="24"/>
                <w:sz w:val="18"/>
                <w:szCs w:val="21"/>
              </w:rPr>
              <w:t xml:space="preserve"> </w:t>
            </w:r>
            <w:r>
              <w:rPr>
                <w:rFonts w:eastAsia="Malgun Gothic" w:cs="Arial"/>
                <w:kern w:val="24"/>
                <w:sz w:val="18"/>
                <w:szCs w:val="21"/>
              </w:rPr>
              <w:t>Ω</w:t>
            </w:r>
            <w:r>
              <w:rPr>
                <w:rFonts w:eastAsia="Malgun Gothic" w:cs="Arial"/>
                <w:i/>
                <w:iCs/>
                <w:kern w:val="24"/>
                <w:position w:val="-6"/>
                <w:sz w:val="18"/>
                <w:szCs w:val="21"/>
                <w:vertAlign w:val="subscript"/>
              </w:rPr>
              <w:t>UT,</w:t>
            </w:r>
            <w:r>
              <w:rPr>
                <w:rFonts w:ascii="Symbol" w:eastAsia="Malgun Gothic" w:hAnsi="Symbol" w:cs="Arial"/>
                <w:i/>
                <w:iCs/>
                <w:kern w:val="24"/>
                <w:position w:val="-6"/>
                <w:sz w:val="18"/>
                <w:szCs w:val="21"/>
                <w:vertAlign w:val="subscript"/>
              </w:rPr>
              <w:t></w:t>
            </w:r>
            <w:r>
              <w:rPr>
                <w:rFonts w:ascii="Symbol" w:eastAsia="Malgun Gothic" w:hAnsi="Symbol" w:cs="Arial"/>
                <w:kern w:val="24"/>
                <w:sz w:val="18"/>
                <w:szCs w:val="21"/>
              </w:rPr>
              <w:t></w:t>
            </w:r>
            <w:r>
              <w:rPr>
                <w:rFonts w:ascii="Arial" w:eastAsia="MS Mincho" w:hAnsi="Arial" w:cs="Arial"/>
                <w:kern w:val="24"/>
                <w:sz w:val="18"/>
                <w:szCs w:val="18"/>
              </w:rPr>
              <w:t xml:space="preserve">= 0 </w:t>
            </w:r>
            <w:r>
              <w:rPr>
                <w:rFonts w:ascii="Arial" w:hAnsi="Arial" w:cs="Arial"/>
                <w:sz w:val="18"/>
                <w:szCs w:val="18"/>
              </w:rPr>
              <w:t>degree,</w:t>
            </w:r>
            <w:r>
              <w:rPr>
                <w:sz w:val="15"/>
                <w:szCs w:val="20"/>
              </w:rPr>
              <w:t xml:space="preserve"> </w:t>
            </w:r>
            <w:r>
              <w:rPr>
                <w:rFonts w:eastAsia="Malgun Gothic" w:cs="Arial"/>
                <w:kern w:val="24"/>
                <w:sz w:val="18"/>
                <w:szCs w:val="21"/>
              </w:rPr>
              <w:t>Ω</w:t>
            </w:r>
            <w:r>
              <w:rPr>
                <w:rFonts w:eastAsia="Malgun Gothic" w:cs="Arial"/>
                <w:i/>
                <w:iCs/>
                <w:kern w:val="24"/>
                <w:position w:val="-6"/>
                <w:sz w:val="18"/>
                <w:szCs w:val="21"/>
                <w:vertAlign w:val="subscript"/>
              </w:rPr>
              <w:t>UT,</w:t>
            </w:r>
            <w:r>
              <w:rPr>
                <w:rFonts w:ascii="Symbol" w:eastAsia="Malgun Gothic" w:hAnsi="Symbol" w:cs="Arial"/>
                <w:i/>
                <w:iCs/>
                <w:kern w:val="24"/>
                <w:position w:val="-6"/>
                <w:sz w:val="18"/>
                <w:szCs w:val="21"/>
                <w:vertAlign w:val="subscript"/>
              </w:rPr>
              <w:t></w:t>
            </w:r>
            <w:r>
              <w:rPr>
                <w:rFonts w:eastAsia="Malgun Gothic"/>
                <w:i/>
                <w:iCs/>
                <w:kern w:val="24"/>
                <w:position w:val="-6"/>
                <w:sz w:val="18"/>
                <w:szCs w:val="21"/>
                <w:vertAlign w:val="subscript"/>
              </w:rPr>
              <w:t xml:space="preserve"> </w:t>
            </w:r>
            <w:r>
              <w:rPr>
                <w:rFonts w:ascii="Arial" w:eastAsia="MS Mincho" w:hAnsi="Arial" w:cs="Arial"/>
                <w:kern w:val="24"/>
                <w:sz w:val="18"/>
                <w:szCs w:val="18"/>
              </w:rPr>
              <w:t xml:space="preserve">= 0 </w:t>
            </w:r>
            <w:r>
              <w:rPr>
                <w:rFonts w:ascii="Arial" w:hAnsi="Arial" w:cs="Arial"/>
                <w:sz w:val="18"/>
                <w:szCs w:val="18"/>
              </w:rPr>
              <w:t>degree</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hint="eastAsia"/>
                <w:b/>
                <w:sz w:val="18"/>
                <w:szCs w:val="18"/>
              </w:rPr>
              <w:t>BS</w:t>
            </w:r>
            <w:r>
              <w:rPr>
                <w:rFonts w:ascii="Arial" w:hAnsi="Arial" w:cs="Arial"/>
                <w:b/>
                <w:sz w:val="18"/>
                <w:szCs w:val="18"/>
                <w:lang w:eastAsia="ja-JP"/>
              </w:rPr>
              <w:t xml:space="preserve"> antenna pattern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402F9E" w:rsidRDefault="00402F9E">
            <w:pPr>
              <w:rPr>
                <w:rFonts w:ascii="Arial" w:hAnsi="Arial" w:cs="Arial"/>
                <w:sz w:val="18"/>
                <w:szCs w:val="18"/>
              </w:rPr>
            </w:pPr>
            <w:r>
              <w:rPr>
                <w:rFonts w:ascii="Arial" w:hAnsi="Arial" w:cs="Arial"/>
                <w:sz w:val="18"/>
                <w:szCs w:val="18"/>
              </w:rPr>
              <w:t>See</w:t>
            </w:r>
            <w:r>
              <w:rPr>
                <w:rFonts w:ascii="Arial" w:hAnsi="Arial" w:cs="Arial" w:hint="eastAsia"/>
                <w:sz w:val="18"/>
                <w:szCs w:val="18"/>
              </w:rPr>
              <w:t xml:space="preserve"> w</w:t>
            </w:r>
            <w:r>
              <w:rPr>
                <w:rFonts w:ascii="Arial" w:hAnsi="Arial" w:cs="Arial"/>
                <w:sz w:val="18"/>
                <w:szCs w:val="18"/>
                <w:lang w:eastAsia="ja-JP"/>
              </w:rPr>
              <w:t>all-mount</w:t>
            </w:r>
            <w:r>
              <w:rPr>
                <w:rFonts w:ascii="Arial" w:hAnsi="Arial" w:cs="Arial" w:hint="eastAsia"/>
                <w:sz w:val="18"/>
                <w:szCs w:val="18"/>
              </w:rPr>
              <w:t xml:space="preserve"> in </w:t>
            </w:r>
            <w:r>
              <w:rPr>
                <w:rFonts w:ascii="Arial" w:hAnsi="Arial" w:cs="Arial"/>
                <w:sz w:val="18"/>
                <w:szCs w:val="18"/>
                <w:lang w:eastAsia="ja-JP"/>
              </w:rPr>
              <w:t>Table A.2</w:t>
            </w:r>
            <w:r>
              <w:rPr>
                <w:rFonts w:ascii="Arial" w:hAnsi="Arial" w:cs="Arial" w:hint="eastAsia"/>
                <w:sz w:val="18"/>
                <w:szCs w:val="18"/>
                <w:lang w:eastAsia="ja-JP"/>
              </w:rPr>
              <w:t>.1</w:t>
            </w:r>
            <w:r>
              <w:rPr>
                <w:rFonts w:ascii="Arial" w:hAnsi="Arial" w:cs="Arial"/>
                <w:sz w:val="18"/>
                <w:szCs w:val="18"/>
                <w:lang w:eastAsia="ja-JP"/>
              </w:rPr>
              <w:t>-</w:t>
            </w:r>
            <w:r>
              <w:rPr>
                <w:rFonts w:ascii="Arial" w:hAnsi="Arial" w:cs="Arial" w:hint="eastAsia"/>
                <w:sz w:val="18"/>
                <w:szCs w:val="18"/>
                <w:lang w:eastAsia="ja-JP"/>
              </w:rPr>
              <w:t>7 in</w:t>
            </w:r>
            <w:r>
              <w:rPr>
                <w:rFonts w:ascii="Arial" w:hAnsi="Arial" w:cs="Arial" w:hint="eastAsia"/>
                <w:sz w:val="18"/>
                <w:szCs w:val="18"/>
              </w:rPr>
              <w:t xml:space="preserve"> TR 38.802</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b/>
                <w:sz w:val="18"/>
                <w:szCs w:val="18"/>
                <w:lang w:eastAsia="ja-JP"/>
              </w:rPr>
              <w:t>UE antenna pattern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402F9E" w:rsidRDefault="00402F9E">
            <w:pPr>
              <w:rPr>
                <w:rFonts w:ascii="Arial" w:hAnsi="Arial" w:cs="Arial"/>
                <w:sz w:val="18"/>
                <w:szCs w:val="18"/>
              </w:rPr>
            </w:pPr>
            <w:r>
              <w:rPr>
                <w:rFonts w:ascii="Arial" w:hAnsi="Arial" w:cs="Arial"/>
                <w:sz w:val="18"/>
                <w:szCs w:val="18"/>
              </w:rPr>
              <w:t xml:space="preserve">See </w:t>
            </w:r>
            <w:r>
              <w:rPr>
                <w:rFonts w:ascii="Arial" w:hAnsi="Arial" w:cs="Arial" w:hint="eastAsia"/>
                <w:sz w:val="18"/>
                <w:szCs w:val="18"/>
                <w:lang w:eastAsia="ja-JP"/>
              </w:rPr>
              <w:t>Table A.</w:t>
            </w:r>
            <w:r>
              <w:rPr>
                <w:rFonts w:ascii="Arial" w:hAnsi="Arial" w:cs="Arial" w:hint="eastAsia"/>
                <w:sz w:val="18"/>
                <w:szCs w:val="18"/>
              </w:rPr>
              <w:t>2.1-8 in TR 38.802</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hint="eastAsia"/>
                <w:b/>
                <w:sz w:val="18"/>
                <w:szCs w:val="18"/>
                <w:lang w:eastAsia="ja-JP"/>
              </w:rPr>
              <w:t>BS</w:t>
            </w:r>
            <w:r>
              <w:rPr>
                <w:rFonts w:ascii="Arial" w:hAnsi="Arial" w:cs="Arial"/>
                <w:b/>
                <w:sz w:val="18"/>
                <w:szCs w:val="18"/>
                <w:lang w:eastAsia="ja-JP"/>
              </w:rPr>
              <w:t xml:space="preserve"> antenna height</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402F9E" w:rsidRDefault="00402F9E">
            <w:pPr>
              <w:rPr>
                <w:rFonts w:ascii="Arial" w:hAnsi="Arial" w:cs="Arial"/>
                <w:sz w:val="18"/>
                <w:szCs w:val="18"/>
                <w:lang w:eastAsia="ja-JP"/>
              </w:rPr>
            </w:pPr>
            <w:r>
              <w:rPr>
                <w:rFonts w:ascii="Arial" w:hAnsi="Arial" w:cs="Arial" w:hint="eastAsia"/>
                <w:sz w:val="18"/>
                <w:szCs w:val="18"/>
                <w:lang w:eastAsia="ja-JP"/>
              </w:rPr>
              <w:t>3</w:t>
            </w:r>
            <w:r>
              <w:rPr>
                <w:rFonts w:ascii="Arial" w:hAnsi="Arial" w:cs="Arial"/>
                <w:sz w:val="18"/>
                <w:szCs w:val="18"/>
                <w:lang w:eastAsia="ja-JP"/>
              </w:rPr>
              <w:t>m</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b/>
                <w:sz w:val="18"/>
                <w:szCs w:val="18"/>
                <w:lang w:eastAsia="ja-JP"/>
              </w:rPr>
              <w:t>UE antenna height</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402F9E" w:rsidRDefault="00402F9E">
            <w:pPr>
              <w:rPr>
                <w:rFonts w:ascii="Arial" w:hAnsi="Arial" w:cs="Arial"/>
                <w:sz w:val="18"/>
                <w:szCs w:val="18"/>
                <w:lang w:eastAsia="ja-JP"/>
              </w:rPr>
            </w:pPr>
            <w:r>
              <w:rPr>
                <w:rFonts w:ascii="Arial" w:hAnsi="Arial" w:cs="Arial" w:hint="eastAsia"/>
                <w:sz w:val="18"/>
                <w:szCs w:val="18"/>
                <w:lang w:eastAsia="ja-JP"/>
              </w:rPr>
              <w:t>1.5 m</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b/>
                <w:sz w:val="18"/>
                <w:szCs w:val="18"/>
                <w:lang w:eastAsia="ja-JP"/>
              </w:rPr>
              <w:t>UE antenna</w:t>
            </w:r>
            <w:r>
              <w:rPr>
                <w:rFonts w:ascii="Arial" w:hAnsi="Arial" w:cs="Arial" w:hint="eastAsia"/>
                <w:b/>
                <w:sz w:val="18"/>
                <w:szCs w:val="18"/>
                <w:lang w:eastAsia="ja-JP"/>
              </w:rPr>
              <w:t xml:space="preserve"> gain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402F9E" w:rsidRDefault="00402F9E">
            <w:pPr>
              <w:rPr>
                <w:rFonts w:ascii="Arial" w:hAnsi="Arial" w:cs="Arial"/>
                <w:sz w:val="18"/>
                <w:szCs w:val="18"/>
                <w:lang w:eastAsia="ja-JP"/>
              </w:rPr>
            </w:pPr>
            <w:r>
              <w:rPr>
                <w:rFonts w:ascii="Arial" w:hAnsi="Arial" w:cs="Arial" w:hint="eastAsia"/>
                <w:sz w:val="18"/>
                <w:szCs w:val="18"/>
                <w:lang w:eastAsia="ja-JP"/>
              </w:rPr>
              <w:t>5dBi</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b/>
                <w:sz w:val="18"/>
                <w:szCs w:val="18"/>
                <w:lang w:eastAsia="ja-JP"/>
              </w:rPr>
              <w:t>Noise figure for BS</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402F9E" w:rsidRDefault="00402F9E">
            <w:pPr>
              <w:rPr>
                <w:rFonts w:ascii="Arial" w:hAnsi="Arial" w:cs="Arial"/>
                <w:sz w:val="18"/>
                <w:szCs w:val="18"/>
                <w:lang w:eastAsia="ja-JP"/>
              </w:rPr>
            </w:pPr>
            <w:r>
              <w:rPr>
                <w:rFonts w:ascii="Arial" w:hAnsi="Arial" w:cs="Arial" w:hint="eastAsia"/>
                <w:sz w:val="18"/>
                <w:szCs w:val="18"/>
                <w:lang w:eastAsia="ja-JP"/>
              </w:rPr>
              <w:t>7dB</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hint="eastAsia"/>
                <w:b/>
                <w:sz w:val="18"/>
                <w:szCs w:val="18"/>
                <w:lang w:eastAsia="ja-JP"/>
              </w:rPr>
              <w:t>UE receiver noise figure</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402F9E" w:rsidRDefault="00402F9E">
            <w:pPr>
              <w:rPr>
                <w:rFonts w:ascii="Arial" w:hAnsi="Arial" w:cs="Arial"/>
                <w:sz w:val="18"/>
                <w:szCs w:val="18"/>
                <w:lang w:eastAsia="ja-JP"/>
              </w:rPr>
            </w:pPr>
            <w:r>
              <w:rPr>
                <w:rFonts w:ascii="Arial" w:hAnsi="Arial" w:cs="Arial" w:hint="eastAsia"/>
                <w:sz w:val="18"/>
                <w:szCs w:val="18"/>
                <w:lang w:eastAsia="ja-JP"/>
              </w:rPr>
              <w:t>10dB</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b/>
                <w:sz w:val="18"/>
                <w:szCs w:val="18"/>
                <w:lang w:eastAsia="ja-JP"/>
              </w:rPr>
              <w:t>UE distribution</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pStyle w:val="tal0"/>
              <w:spacing w:line="252" w:lineRule="auto"/>
              <w:jc w:val="both"/>
              <w:rPr>
                <w:lang w:eastAsia="ja-JP"/>
              </w:rPr>
            </w:pPr>
            <w:r>
              <w:rPr>
                <w:lang w:eastAsia="ja-JP"/>
              </w:rPr>
              <w:t>100% Indoor, 3km/h,</w:t>
            </w:r>
          </w:p>
          <w:p w:rsidR="00402F9E" w:rsidRDefault="00402F9E">
            <w:pPr>
              <w:pStyle w:val="tal0"/>
              <w:spacing w:line="252" w:lineRule="auto"/>
              <w:jc w:val="both"/>
              <w:rPr>
                <w:lang w:eastAsia="ja-JP"/>
              </w:rPr>
            </w:pPr>
            <w:r>
              <w:rPr>
                <w:lang w:eastAsia="ja-JP"/>
              </w:rPr>
              <w:t xml:space="preserve">10 users per BS </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402F9E" w:rsidRDefault="00402F9E">
            <w:pPr>
              <w:rPr>
                <w:rFonts w:ascii="Arial" w:hAnsi="Arial" w:cs="Arial"/>
                <w:b/>
                <w:sz w:val="18"/>
                <w:szCs w:val="18"/>
                <w:lang w:eastAsia="ja-JP"/>
              </w:rPr>
            </w:pPr>
            <w:r>
              <w:rPr>
                <w:rFonts w:ascii="Arial" w:hAnsi="Arial" w:cs="Arial"/>
                <w:b/>
                <w:sz w:val="18"/>
                <w:szCs w:val="18"/>
                <w:lang w:eastAsia="ja-JP"/>
              </w:rPr>
              <w:t>UE receiver type</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402F9E" w:rsidRDefault="00402F9E">
            <w:pPr>
              <w:pStyle w:val="tal0"/>
              <w:spacing w:line="252" w:lineRule="auto"/>
              <w:jc w:val="both"/>
              <w:rPr>
                <w:color w:val="000000"/>
              </w:rPr>
            </w:pPr>
            <w:r>
              <w:rPr>
                <w:color w:val="000000"/>
              </w:rPr>
              <w:t xml:space="preserve">MMSE-IRC </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402F9E" w:rsidRDefault="00402F9E">
            <w:pPr>
              <w:rPr>
                <w:rFonts w:ascii="Arial" w:hAnsi="Arial" w:cs="Arial"/>
                <w:b/>
                <w:sz w:val="18"/>
                <w:szCs w:val="18"/>
                <w:lang w:eastAsia="ja-JP"/>
              </w:rPr>
            </w:pPr>
            <w:r>
              <w:rPr>
                <w:rFonts w:ascii="Arial" w:hAnsi="Arial" w:cs="Arial"/>
                <w:b/>
                <w:sz w:val="18"/>
                <w:szCs w:val="18"/>
                <w:lang w:eastAsia="ja-JP"/>
              </w:rPr>
              <w:t>Transmission scheme</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402F9E" w:rsidRDefault="00402F9E">
            <w:pPr>
              <w:pStyle w:val="tal0"/>
              <w:spacing w:line="252" w:lineRule="auto"/>
              <w:jc w:val="both"/>
              <w:rPr>
                <w:color w:val="000000"/>
              </w:rPr>
            </w:pPr>
            <w:r>
              <w:rPr>
                <w:color w:val="000000"/>
              </w:rPr>
              <w:t xml:space="preserve">SU, Rank adaptation </w:t>
            </w:r>
          </w:p>
        </w:tc>
      </w:tr>
    </w:tbl>
    <w:p w:rsidR="00402F9E" w:rsidRDefault="00402F9E">
      <w:pPr>
        <w:jc w:val="both"/>
        <w:rPr>
          <w:lang w:val="en-GB"/>
        </w:rPr>
      </w:pPr>
      <w:r>
        <w:rPr>
          <w:rFonts w:hint="eastAsia"/>
          <w:sz w:val="20"/>
          <w:szCs w:val="20"/>
        </w:rPr>
        <w:t>Notes: Any other parameters</w:t>
      </w:r>
      <w:r>
        <w:rPr>
          <w:sz w:val="20"/>
          <w:szCs w:val="20"/>
        </w:rPr>
        <w:t xml:space="preserve"> not specified</w:t>
      </w:r>
      <w:r>
        <w:rPr>
          <w:rFonts w:hint="eastAsia"/>
          <w:sz w:val="20"/>
          <w:szCs w:val="20"/>
        </w:rPr>
        <w:t xml:space="preserve"> here remain the same as those in NR evaluation assumption </w:t>
      </w:r>
      <w:r>
        <w:rPr>
          <w:sz w:val="20"/>
          <w:szCs w:val="20"/>
        </w:rPr>
        <w:t>for beam management in Rel-16 eNR-MIMO.</w:t>
      </w:r>
    </w:p>
    <w:p w:rsidR="00402F9E" w:rsidRDefault="00402F9E">
      <w:pPr>
        <w:pStyle w:val="NoSpacing1"/>
        <w:snapToGrid w:val="0"/>
        <w:rPr>
          <w:sz w:val="20"/>
          <w:szCs w:val="20"/>
          <w:lang w:val="en-GB"/>
        </w:rPr>
      </w:pPr>
    </w:p>
    <w:p w:rsidR="00402F9E" w:rsidRDefault="00402F9E">
      <w:pPr>
        <w:pStyle w:val="TH"/>
        <w:rPr>
          <w:rFonts w:ascii="Times New Roman" w:hAnsi="Times New Roman"/>
          <w:b w:val="0"/>
          <w:lang w:eastAsia="ja-JP"/>
        </w:rPr>
      </w:pPr>
      <w:r>
        <w:rPr>
          <w:rFonts w:ascii="Times New Roman" w:hAnsi="Times New Roman"/>
          <w:lang w:eastAsia="ja-JP"/>
        </w:rPr>
        <w:t>Table 4</w:t>
      </w:r>
      <w:r>
        <w:rPr>
          <w:rFonts w:ascii="Times New Roman" w:hAnsi="Times New Roman"/>
          <w:b w:val="0"/>
          <w:lang w:eastAsia="ja-JP"/>
        </w:rPr>
        <w:t xml:space="preserve"> Simulation assumptions for dense urban</w:t>
      </w:r>
      <w:r>
        <w:rPr>
          <w:rFonts w:ascii="Times New Roman" w:hAnsi="Times New Roman" w:hint="eastAsia"/>
          <w:b w:val="0"/>
          <w:lang w:eastAsia="ja-JP"/>
        </w:rPr>
        <w:t xml:space="preserve"> system</w:t>
      </w:r>
      <w:r>
        <w:rPr>
          <w:rFonts w:ascii="Times New Roman" w:hAnsi="Times New Roman"/>
          <w:b w:val="0"/>
          <w:lang w:eastAsia="ja-JP"/>
        </w:rPr>
        <w:t>-level evaluation</w:t>
      </w:r>
    </w:p>
    <w:tbl>
      <w:tblPr>
        <w:tblW w:w="0" w:type="auto"/>
        <w:tblInd w:w="117" w:type="dxa"/>
        <w:tblLayout w:type="fixed"/>
        <w:tblCellMar>
          <w:left w:w="0" w:type="dxa"/>
          <w:right w:w="0" w:type="dxa"/>
        </w:tblCellMar>
        <w:tblLook w:val="0000" w:firstRow="0" w:lastRow="0" w:firstColumn="0" w:lastColumn="0" w:noHBand="0" w:noVBand="0"/>
      </w:tblPr>
      <w:tblGrid>
        <w:gridCol w:w="2223"/>
        <w:gridCol w:w="7228"/>
      </w:tblGrid>
      <w:tr w:rsidR="00402F9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tcPr>
          <w:p w:rsidR="00402F9E" w:rsidRDefault="00402F9E">
            <w:pPr>
              <w:rPr>
                <w:rFonts w:ascii="Arial" w:hAnsi="Arial" w:cs="Arial"/>
                <w:b/>
                <w:bCs/>
                <w:sz w:val="18"/>
                <w:szCs w:val="18"/>
                <w:lang w:eastAsia="ja-JP"/>
              </w:rPr>
            </w:pPr>
            <w:r>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tcPr>
          <w:p w:rsidR="00402F9E" w:rsidRDefault="00402F9E">
            <w:pPr>
              <w:rPr>
                <w:rFonts w:ascii="Arial" w:hAnsi="Arial" w:cs="Arial"/>
                <w:b/>
                <w:bCs/>
                <w:sz w:val="18"/>
                <w:szCs w:val="18"/>
                <w:lang w:eastAsia="ja-JP"/>
              </w:rPr>
            </w:pPr>
            <w:r>
              <w:rPr>
                <w:rFonts w:ascii="Arial" w:hAnsi="Arial" w:cs="Arial"/>
                <w:b/>
                <w:bCs/>
                <w:sz w:val="18"/>
                <w:szCs w:val="18"/>
                <w:lang w:eastAsia="ja-JP"/>
              </w:rPr>
              <w:t>Values or assumptions</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sz w:val="18"/>
                <w:szCs w:val="18"/>
              </w:rPr>
            </w:pPr>
            <w:r>
              <w:rPr>
                <w:rFonts w:ascii="Arial" w:hAnsi="Arial" w:cs="Arial"/>
                <w:sz w:val="18"/>
                <w:szCs w:val="18"/>
                <w:lang w:eastAsia="ja-JP"/>
              </w:rPr>
              <w:t>30 GHz</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rPr>
            </w:pPr>
            <w:r>
              <w:rPr>
                <w:rFonts w:ascii="Arial" w:hAnsi="Arial" w:cs="Arial" w:hint="eastAsia"/>
                <w:b/>
                <w:sz w:val="18"/>
                <w:szCs w:val="18"/>
              </w:rPr>
              <w:t>Mode</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sz w:val="18"/>
                <w:szCs w:val="18"/>
                <w:lang w:eastAsia="ja-JP"/>
              </w:rPr>
            </w:pPr>
            <w:r>
              <w:rPr>
                <w:rFonts w:ascii="Arial" w:hAnsi="Arial" w:cs="Arial" w:hint="eastAsia"/>
                <w:sz w:val="18"/>
                <w:szCs w:val="18"/>
                <w:lang w:eastAsia="ja-JP"/>
              </w:rPr>
              <w:t>DL only</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rPr>
            </w:pPr>
            <w:r>
              <w:rPr>
                <w:rFonts w:ascii="Arial" w:hAnsi="Arial" w:cs="Arial" w:hint="eastAsia"/>
                <w:b/>
                <w:sz w:val="18"/>
                <w:szCs w:val="18"/>
              </w:rPr>
              <w:t>Bandwidth</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sz w:val="18"/>
                <w:szCs w:val="18"/>
                <w:lang w:eastAsia="ja-JP"/>
              </w:rPr>
            </w:pPr>
            <w:r>
              <w:rPr>
                <w:rFonts w:ascii="Arial" w:hAnsi="Arial" w:cs="Arial"/>
                <w:sz w:val="18"/>
                <w:szCs w:val="18"/>
                <w:lang w:eastAsia="ja-JP"/>
              </w:rPr>
              <w:t>8</w:t>
            </w:r>
            <w:r>
              <w:rPr>
                <w:rFonts w:ascii="Arial" w:hAnsi="Arial" w:cs="Arial" w:hint="eastAsia"/>
                <w:sz w:val="18"/>
                <w:szCs w:val="18"/>
                <w:lang w:eastAsia="ja-JP"/>
              </w:rPr>
              <w:t>0MHz</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rPr>
            </w:pPr>
            <w:r>
              <w:rPr>
                <w:rFonts w:ascii="Arial" w:hAnsi="Arial" w:cs="Arial" w:hint="eastAsia"/>
                <w:b/>
                <w:sz w:val="18"/>
                <w:szCs w:val="18"/>
              </w:rPr>
              <w:t>S</w:t>
            </w:r>
            <w:r>
              <w:rPr>
                <w:rFonts w:ascii="Arial" w:hAnsi="Arial" w:cs="Arial"/>
                <w:b/>
                <w:sz w:val="18"/>
                <w:szCs w:val="18"/>
              </w:rPr>
              <w:t xml:space="preserve">ubcarrier </w:t>
            </w:r>
            <w:r>
              <w:rPr>
                <w:rFonts w:ascii="Arial" w:hAnsi="Arial" w:cs="Arial" w:hint="eastAsia"/>
                <w:b/>
                <w:sz w:val="18"/>
                <w:szCs w:val="18"/>
              </w:rPr>
              <w:t>S</w:t>
            </w:r>
            <w:r>
              <w:rPr>
                <w:rFonts w:ascii="Arial" w:hAnsi="Arial" w:cs="Arial"/>
                <w:b/>
                <w:sz w:val="18"/>
                <w:szCs w:val="18"/>
              </w:rPr>
              <w:t>pacing</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sz w:val="18"/>
                <w:szCs w:val="18"/>
                <w:lang w:eastAsia="ja-JP"/>
              </w:rPr>
            </w:pPr>
            <w:r>
              <w:rPr>
                <w:rFonts w:ascii="Arial" w:hAnsi="Arial" w:cs="Arial"/>
                <w:sz w:val="18"/>
                <w:szCs w:val="18"/>
                <w:lang w:eastAsia="ja-JP"/>
              </w:rPr>
              <w:t>120</w:t>
            </w:r>
            <w:r>
              <w:rPr>
                <w:rFonts w:ascii="Arial" w:hAnsi="Arial" w:cs="Arial" w:hint="eastAsia"/>
                <w:sz w:val="18"/>
                <w:szCs w:val="18"/>
                <w:lang w:eastAsia="ja-JP"/>
              </w:rPr>
              <w:t>kHz</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sz w:val="18"/>
                <w:szCs w:val="18"/>
              </w:rPr>
            </w:pPr>
            <w:r>
              <w:rPr>
                <w:rFonts w:ascii="Arial" w:hAnsi="Arial" w:cs="Arial"/>
                <w:sz w:val="18"/>
                <w:szCs w:val="18"/>
              </w:rPr>
              <w:t xml:space="preserve">Dense Urban Micro layer only </w:t>
            </w:r>
            <w:r>
              <w:rPr>
                <w:rFonts w:ascii="Arial" w:hAnsi="Arial" w:cs="Arial" w:hint="eastAsia"/>
                <w:sz w:val="18"/>
                <w:szCs w:val="18"/>
              </w:rPr>
              <w:t>in TR 38.900</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b/>
                <w:sz w:val="18"/>
                <w:szCs w:val="18"/>
                <w:lang w:eastAsia="ja-JP"/>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sz w:val="18"/>
                <w:szCs w:val="18"/>
                <w:lang w:eastAsia="ja-JP"/>
              </w:rPr>
            </w:pPr>
            <w:r>
              <w:rPr>
                <w:rFonts w:ascii="Arial" w:hAnsi="Arial" w:cs="Arial" w:hint="eastAsia"/>
                <w:sz w:val="18"/>
                <w:szCs w:val="18"/>
              </w:rPr>
              <w:t xml:space="preserve">One </w:t>
            </w:r>
            <w:r>
              <w:rPr>
                <w:rFonts w:ascii="Arial" w:hAnsi="Arial" w:cs="Arial"/>
                <w:sz w:val="18"/>
                <w:szCs w:val="18"/>
                <w:lang w:eastAsia="ja-JP"/>
              </w:rPr>
              <w:t>TXRU per panel per polarization</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b/>
                <w:sz w:val="18"/>
                <w:szCs w:val="18"/>
                <w:lang w:eastAsia="ja-JP"/>
              </w:rPr>
              <w:t>TXRU mapping weights</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sz w:val="18"/>
                <w:szCs w:val="18"/>
              </w:rPr>
            </w:pPr>
            <w:r>
              <w:rPr>
                <w:rFonts w:ascii="Arial" w:hAnsi="Arial" w:cs="Arial"/>
                <w:sz w:val="18"/>
                <w:szCs w:val="18"/>
                <w:lang w:eastAsia="ja-JP"/>
              </w:rPr>
              <w:t xml:space="preserve">2D TXRU virtualization weights </w:t>
            </w:r>
            <w:r>
              <w:rPr>
                <w:rFonts w:ascii="Arial" w:hAnsi="Arial" w:cs="Arial" w:hint="eastAsia"/>
                <w:sz w:val="18"/>
                <w:szCs w:val="18"/>
                <w:lang w:eastAsia="ja-JP"/>
              </w:rPr>
              <w:t xml:space="preserve">for each panel is the </w:t>
            </w:r>
            <w:r>
              <w:rPr>
                <w:rFonts w:ascii="Arial" w:hAnsi="Arial" w:cs="Arial"/>
                <w:sz w:val="18"/>
                <w:szCs w:val="18"/>
                <w:lang w:eastAsia="ja-JP"/>
              </w:rPr>
              <w:t>Kronecker product between vertical and horizontal weight vectors</w:t>
            </w:r>
            <w:r>
              <w:rPr>
                <w:rFonts w:ascii="Arial" w:hAnsi="Arial" w:cs="Arial" w:hint="eastAsia"/>
                <w:sz w:val="18"/>
                <w:szCs w:val="18"/>
                <w:lang w:eastAsia="ja-JP"/>
              </w:rPr>
              <w:t xml:space="preserve"> </w:t>
            </w:r>
            <w:r>
              <w:rPr>
                <w:rFonts w:ascii="Arial" w:hAnsi="Arial" w:cs="Arial"/>
                <w:sz w:val="18"/>
                <w:szCs w:val="18"/>
                <w:lang w:eastAsia="ja-JP"/>
              </w:rPr>
              <w:t>taken from DFT</w:t>
            </w:r>
            <w:r>
              <w:rPr>
                <w:rFonts w:ascii="Arial" w:hAnsi="Arial" w:cs="Arial" w:hint="eastAsia"/>
                <w:sz w:val="18"/>
                <w:szCs w:val="18"/>
                <w:lang w:eastAsia="ja-JP"/>
              </w:rPr>
              <w:t>, i.e., 2D sub-array</w:t>
            </w:r>
            <w:r>
              <w:rPr>
                <w:rFonts w:ascii="Arial" w:hAnsi="Arial" w:cs="Arial"/>
                <w:sz w:val="18"/>
                <w:szCs w:val="18"/>
                <w:lang w:eastAsia="ja-JP"/>
              </w:rPr>
              <w:t xml:space="preserve"> partition model defined in TR36.897.</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rPr>
            </w:pPr>
            <w:r>
              <w:rPr>
                <w:rFonts w:ascii="Arial" w:hAnsi="Arial" w:cs="Arial"/>
                <w:b/>
                <w:sz w:val="18"/>
                <w:szCs w:val="18"/>
                <w:lang w:eastAsia="ja-JP"/>
              </w:rPr>
              <w:t>Criteria for beam selection</w:t>
            </w:r>
            <w:r>
              <w:rPr>
                <w:rFonts w:ascii="Arial" w:hAnsi="Arial" w:cs="Arial" w:hint="eastAsia"/>
                <w:b/>
                <w:sz w:val="18"/>
                <w:szCs w:val="18"/>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sz w:val="18"/>
                <w:szCs w:val="18"/>
                <w:lang w:eastAsia="ja-JP"/>
              </w:rPr>
            </w:pPr>
            <w:r>
              <w:rPr>
                <w:rFonts w:ascii="Arial" w:hAnsi="Arial" w:cs="Arial"/>
                <w:sz w:val="18"/>
                <w:szCs w:val="18"/>
                <w:lang w:eastAsia="ja-JP"/>
              </w:rPr>
              <w:t xml:space="preserve">Select </w:t>
            </w:r>
            <w:r>
              <w:rPr>
                <w:rFonts w:ascii="Arial" w:hAnsi="Arial" w:cs="Arial" w:hint="eastAsia"/>
                <w:sz w:val="18"/>
                <w:szCs w:val="18"/>
                <w:lang w:eastAsia="ja-JP"/>
              </w:rPr>
              <w:t xml:space="preserve">the best </w:t>
            </w:r>
            <w:r>
              <w:rPr>
                <w:rFonts w:ascii="Arial" w:hAnsi="Arial" w:cs="Arial"/>
                <w:sz w:val="18"/>
                <w:szCs w:val="18"/>
                <w:lang w:eastAsia="ja-JP"/>
              </w:rPr>
              <w:t xml:space="preserve">beam </w:t>
            </w:r>
            <w:r>
              <w:rPr>
                <w:rFonts w:ascii="Arial" w:hAnsi="Arial" w:cs="Arial" w:hint="eastAsia"/>
                <w:sz w:val="18"/>
                <w:szCs w:val="18"/>
                <w:lang w:eastAsia="ja-JP"/>
              </w:rPr>
              <w:t xml:space="preserve">pair </w:t>
            </w:r>
            <w:r>
              <w:rPr>
                <w:rFonts w:ascii="Arial" w:hAnsi="Arial" w:cs="Arial"/>
                <w:sz w:val="18"/>
                <w:szCs w:val="18"/>
                <w:lang w:eastAsia="ja-JP"/>
              </w:rPr>
              <w:t>among the limited set of DFT beams</w:t>
            </w:r>
            <w:r>
              <w:rPr>
                <w:rFonts w:ascii="Arial" w:hAnsi="Arial" w:cs="Arial" w:hint="eastAsia"/>
                <w:sz w:val="18"/>
                <w:szCs w:val="18"/>
                <w:lang w:eastAsia="ja-JP"/>
              </w:rPr>
              <w:t xml:space="preserve">, </w:t>
            </w:r>
            <w:r>
              <w:rPr>
                <w:rFonts w:ascii="Arial" w:hAnsi="Arial" w:cs="Arial"/>
                <w:sz w:val="18"/>
                <w:szCs w:val="18"/>
                <w:lang w:eastAsia="ja-JP"/>
              </w:rPr>
              <w:t>based on the criteria of maximizing receive power after beamforming.</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b/>
                <w:sz w:val="18"/>
                <w:szCs w:val="18"/>
                <w:lang w:eastAsia="ja-JP"/>
              </w:rPr>
              <w:t>Constraints</w:t>
            </w:r>
            <w:r>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spacing w:after="120"/>
              <w:jc w:val="both"/>
              <w:rPr>
                <w:rFonts w:ascii="Arial" w:hAnsi="Arial" w:cs="Arial"/>
                <w:sz w:val="18"/>
                <w:szCs w:val="18"/>
              </w:rPr>
            </w:pPr>
            <w:r>
              <w:rPr>
                <w:rFonts w:ascii="Arial" w:hAnsi="Arial" w:cs="Arial"/>
                <w:sz w:val="18"/>
                <w:szCs w:val="18"/>
              </w:rPr>
              <w:t>Two UE panels are attached with two respective TRP.</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402F9E" w:rsidRDefault="00402F9E">
            <w:pPr>
              <w:rPr>
                <w:sz w:val="20"/>
                <w:szCs w:val="20"/>
              </w:rPr>
            </w:pPr>
            <w:r>
              <w:rPr>
                <w:rFonts w:ascii="Arial" w:hAnsi="Arial" w:cs="Arial" w:hint="eastAsia"/>
                <w:b/>
                <w:sz w:val="18"/>
                <w:szCs w:val="18"/>
                <w:lang w:eastAsia="ja-JP"/>
              </w:rPr>
              <w:t>ISD</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vAlign w:val="center"/>
          </w:tcPr>
          <w:p w:rsidR="00402F9E" w:rsidRDefault="00402F9E">
            <w:pPr>
              <w:pStyle w:val="NoSpacing"/>
              <w:rPr>
                <w:rFonts w:ascii="Times New Roman" w:hAnsi="Times New Roman"/>
                <w:sz w:val="20"/>
                <w:szCs w:val="20"/>
              </w:rPr>
            </w:pPr>
            <w:r>
              <w:rPr>
                <w:rFonts w:ascii="Times New Roman" w:hAnsi="Times New Roman" w:hint="eastAsia"/>
                <w:sz w:val="20"/>
                <w:szCs w:val="20"/>
              </w:rPr>
              <w:t>20</w:t>
            </w:r>
            <w:r>
              <w:rPr>
                <w:rFonts w:ascii="Times New Roman" w:hAnsi="Times New Roman"/>
                <w:sz w:val="20"/>
                <w:szCs w:val="20"/>
              </w:rPr>
              <w:t>0</w:t>
            </w:r>
            <w:r>
              <w:rPr>
                <w:rFonts w:ascii="Times New Roman" w:hAnsi="Times New Roman" w:hint="eastAsia"/>
                <w:sz w:val="20"/>
                <w:szCs w:val="20"/>
              </w:rPr>
              <w:t>m</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hint="eastAsia"/>
                <w:b/>
                <w:sz w:val="18"/>
                <w:szCs w:val="18"/>
                <w:lang w:eastAsia="ja-JP"/>
              </w:rPr>
              <w:t>BS Tx power</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402F9E" w:rsidRDefault="00402F9E">
            <w:pPr>
              <w:rPr>
                <w:rFonts w:ascii="Arial" w:hAnsi="Arial" w:cs="Arial"/>
                <w:sz w:val="18"/>
                <w:szCs w:val="18"/>
                <w:lang w:eastAsia="ja-JP"/>
              </w:rPr>
            </w:pPr>
            <w:r>
              <w:rPr>
                <w:rFonts w:ascii="Arial" w:hAnsi="Arial" w:cs="Arial"/>
                <w:sz w:val="18"/>
                <w:szCs w:val="18"/>
                <w:lang w:eastAsia="ja-JP"/>
              </w:rPr>
              <w:t>4</w:t>
            </w:r>
            <w:r>
              <w:rPr>
                <w:rFonts w:ascii="Arial" w:hAnsi="Arial" w:cs="Arial" w:hint="eastAsia"/>
                <w:sz w:val="18"/>
                <w:szCs w:val="18"/>
                <w:lang w:eastAsia="ja-JP"/>
              </w:rPr>
              <w:t>3dBm</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hint="eastAsia"/>
                <w:b/>
                <w:sz w:val="18"/>
                <w:szCs w:val="18"/>
                <w:lang w:eastAsia="ja-JP"/>
              </w:rPr>
              <w:t xml:space="preserve">BS </w:t>
            </w:r>
            <w:r>
              <w:rPr>
                <w:rFonts w:ascii="Arial" w:hAnsi="Arial" w:cs="Arial"/>
                <w:b/>
                <w:sz w:val="18"/>
                <w:szCs w:val="18"/>
                <w:lang w:eastAsia="ja-JP"/>
              </w:rPr>
              <w:t>Antenna Configuration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402F9E" w:rsidRDefault="00402F9E">
            <w:pPr>
              <w:pStyle w:val="TAL"/>
              <w:rPr>
                <w:rFonts w:cs="Arial"/>
                <w:kern w:val="2"/>
                <w:sz w:val="20"/>
                <w:lang w:val="sv-SE"/>
              </w:rPr>
            </w:pPr>
            <w:bookmarkStart w:id="6" w:name="_Hlk526726552"/>
            <w:r>
              <w:rPr>
                <w:rFonts w:cs="Arial"/>
                <w:kern w:val="2"/>
                <w:sz w:val="20"/>
              </w:rPr>
              <w:t>(M, N, P, M</w:t>
            </w:r>
            <w:r>
              <w:rPr>
                <w:rFonts w:cs="Arial"/>
                <w:kern w:val="2"/>
                <w:sz w:val="20"/>
                <w:vertAlign w:val="subscript"/>
              </w:rPr>
              <w:t>g</w:t>
            </w:r>
            <w:r>
              <w:rPr>
                <w:rFonts w:cs="Arial"/>
                <w:kern w:val="2"/>
                <w:sz w:val="20"/>
              </w:rPr>
              <w:t>, N</w:t>
            </w:r>
            <w:r>
              <w:rPr>
                <w:rFonts w:cs="Arial"/>
                <w:kern w:val="2"/>
                <w:sz w:val="20"/>
                <w:vertAlign w:val="subscript"/>
              </w:rPr>
              <w:t>g</w:t>
            </w:r>
            <w:r>
              <w:rPr>
                <w:rFonts w:cs="Arial"/>
                <w:kern w:val="2"/>
                <w:sz w:val="20"/>
              </w:rPr>
              <w:t xml:space="preserve">) = (4, 8, 2, </w:t>
            </w:r>
            <w:r w:rsidR="004676D2">
              <w:rPr>
                <w:rFonts w:cs="Arial"/>
                <w:kern w:val="2"/>
                <w:sz w:val="20"/>
              </w:rPr>
              <w:t>1</w:t>
            </w:r>
            <w:r>
              <w:rPr>
                <w:rFonts w:cs="Arial"/>
                <w:kern w:val="2"/>
                <w:sz w:val="20"/>
              </w:rPr>
              <w:t xml:space="preserve">, 2). </w:t>
            </w:r>
            <w:r>
              <w:rPr>
                <w:rFonts w:cs="Arial"/>
                <w:sz w:val="20"/>
                <w:lang w:val="sv-SE" w:eastAsia="ja-JP"/>
              </w:rPr>
              <w:t>(d</w:t>
            </w:r>
            <w:r>
              <w:rPr>
                <w:rFonts w:cs="Arial"/>
                <w:sz w:val="20"/>
                <w:vertAlign w:val="subscript"/>
                <w:lang w:val="sv-SE" w:eastAsia="ja-JP"/>
              </w:rPr>
              <w:t>V</w:t>
            </w:r>
            <w:r>
              <w:rPr>
                <w:rFonts w:cs="Arial"/>
                <w:sz w:val="20"/>
                <w:lang w:val="sv-SE" w:eastAsia="ja-JP"/>
              </w:rPr>
              <w:t>, d</w:t>
            </w:r>
            <w:r>
              <w:rPr>
                <w:rFonts w:cs="Arial"/>
                <w:sz w:val="20"/>
                <w:vertAlign w:val="subscript"/>
                <w:lang w:val="sv-SE" w:eastAsia="ja-JP"/>
              </w:rPr>
              <w:t>H</w:t>
            </w:r>
            <w:r>
              <w:rPr>
                <w:rFonts w:cs="Arial"/>
                <w:sz w:val="20"/>
                <w:lang w:val="sv-SE" w:eastAsia="ja-JP"/>
              </w:rPr>
              <w:t>)</w:t>
            </w:r>
            <w:r>
              <w:rPr>
                <w:rFonts w:cs="Arial"/>
                <w:kern w:val="2"/>
                <w:sz w:val="20"/>
                <w:lang w:val="sv-SE"/>
              </w:rPr>
              <w:t xml:space="preserve"> = (0.5, 0.5) </w:t>
            </w:r>
            <w:r>
              <w:rPr>
                <w:rFonts w:cs="Arial"/>
                <w:kern w:val="2"/>
                <w:sz w:val="20"/>
              </w:rPr>
              <w:t>λ</w:t>
            </w:r>
            <w:r>
              <w:rPr>
                <w:rFonts w:cs="Arial"/>
                <w:kern w:val="2"/>
                <w:sz w:val="20"/>
                <w:lang w:val="sv-SE"/>
              </w:rPr>
              <w:t xml:space="preserve">. </w:t>
            </w:r>
            <w:r>
              <w:rPr>
                <w:rFonts w:cs="Arial"/>
                <w:sz w:val="20"/>
                <w:lang w:val="sv-SE" w:eastAsia="ja-JP"/>
              </w:rPr>
              <w:t>(d</w:t>
            </w:r>
            <w:r>
              <w:rPr>
                <w:rFonts w:cs="Arial"/>
                <w:sz w:val="20"/>
                <w:vertAlign w:val="subscript"/>
                <w:lang w:val="sv-SE" w:eastAsia="ja-JP"/>
              </w:rPr>
              <w:t>g,V</w:t>
            </w:r>
            <w:r>
              <w:rPr>
                <w:rFonts w:cs="Arial"/>
                <w:sz w:val="20"/>
                <w:lang w:val="sv-SE" w:eastAsia="ja-JP"/>
              </w:rPr>
              <w:t>, d</w:t>
            </w:r>
            <w:r>
              <w:rPr>
                <w:rFonts w:cs="Arial"/>
                <w:sz w:val="20"/>
                <w:vertAlign w:val="subscript"/>
                <w:lang w:val="sv-SE" w:eastAsia="ja-JP"/>
              </w:rPr>
              <w:t>g,H</w:t>
            </w:r>
            <w:r>
              <w:rPr>
                <w:rFonts w:cs="Arial"/>
                <w:sz w:val="20"/>
                <w:lang w:val="sv-SE" w:eastAsia="ja-JP"/>
              </w:rPr>
              <w:t>)</w:t>
            </w:r>
            <w:r>
              <w:rPr>
                <w:rFonts w:cs="Arial"/>
                <w:kern w:val="2"/>
                <w:sz w:val="20"/>
                <w:lang w:val="sv-SE"/>
              </w:rPr>
              <w:t xml:space="preserve"> = (2.0, 4.0) </w:t>
            </w:r>
            <w:r>
              <w:rPr>
                <w:rFonts w:cs="Arial"/>
                <w:kern w:val="2"/>
                <w:sz w:val="20"/>
              </w:rPr>
              <w:t>λ</w:t>
            </w:r>
          </w:p>
          <w:bookmarkEnd w:id="6"/>
          <w:p w:rsidR="00402F9E" w:rsidRDefault="00402F9E">
            <w:pPr>
              <w:rPr>
                <w:rFonts w:ascii="Arial" w:hAnsi="Arial" w:cs="Arial"/>
                <w:sz w:val="18"/>
                <w:szCs w:val="18"/>
                <w:lang w:val="sv-SE"/>
              </w:rPr>
            </w:pP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hint="eastAsia"/>
                <w:b/>
                <w:sz w:val="18"/>
                <w:szCs w:val="18"/>
                <w:lang w:eastAsia="ja-JP"/>
              </w:rPr>
              <w:t>UE Configuration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402F9E" w:rsidRDefault="00402F9E">
            <w:pPr>
              <w:rPr>
                <w:rFonts w:ascii="Arial" w:hAnsi="Arial" w:cs="Arial"/>
                <w:sz w:val="18"/>
                <w:szCs w:val="18"/>
              </w:rPr>
            </w:pPr>
            <w:r>
              <w:rPr>
                <w:rFonts w:ascii="Arial" w:hAnsi="Arial" w:cs="Arial"/>
                <w:sz w:val="20"/>
                <w:szCs w:val="20"/>
              </w:rPr>
              <w:t xml:space="preserve">(M, N, P, Mg, Ng) = (2, 4, 2, 1, 2); </w:t>
            </w:r>
            <w:r>
              <w:rPr>
                <w:rFonts w:ascii="Arial" w:eastAsia="Malgun Gothic" w:hAnsi="Arial" w:cs="Arial"/>
                <w:kern w:val="24"/>
                <w:sz w:val="20"/>
                <w:szCs w:val="20"/>
                <w:lang w:val="sv-SE"/>
              </w:rPr>
              <w:t>(d</w:t>
            </w:r>
            <w:r>
              <w:rPr>
                <w:rFonts w:ascii="Arial" w:eastAsia="Malgun Gothic" w:hAnsi="Arial" w:cs="Arial"/>
                <w:kern w:val="24"/>
                <w:position w:val="-6"/>
                <w:sz w:val="20"/>
                <w:szCs w:val="20"/>
                <w:vertAlign w:val="subscript"/>
                <w:lang w:val="sv-SE"/>
              </w:rPr>
              <w:t>V</w:t>
            </w:r>
            <w:r>
              <w:rPr>
                <w:rFonts w:ascii="Arial" w:eastAsia="Malgun Gothic" w:hAnsi="Arial" w:cs="Arial"/>
                <w:kern w:val="24"/>
                <w:sz w:val="20"/>
                <w:szCs w:val="20"/>
                <w:lang w:val="sv-SE"/>
              </w:rPr>
              <w:t>,d</w:t>
            </w:r>
            <w:r>
              <w:rPr>
                <w:rFonts w:ascii="Arial" w:eastAsia="Malgun Gothic" w:hAnsi="Arial" w:cs="Arial"/>
                <w:kern w:val="24"/>
                <w:position w:val="-6"/>
                <w:sz w:val="20"/>
                <w:szCs w:val="20"/>
                <w:vertAlign w:val="subscript"/>
                <w:lang w:val="sv-SE"/>
              </w:rPr>
              <w:t>H</w:t>
            </w:r>
            <w:r>
              <w:rPr>
                <w:rFonts w:ascii="Arial" w:eastAsia="Malgun Gothic" w:hAnsi="Arial" w:cs="Arial"/>
                <w:kern w:val="24"/>
                <w:sz w:val="20"/>
                <w:szCs w:val="20"/>
                <w:lang w:val="sv-SE"/>
              </w:rPr>
              <w:t>) = (0.5, 0.5)</w:t>
            </w:r>
            <w:r>
              <w:rPr>
                <w:rFonts w:ascii="Arial" w:eastAsia="Malgun Gothic" w:hAnsi="Arial" w:cs="Arial"/>
                <w:kern w:val="24"/>
                <w:sz w:val="20"/>
                <w:szCs w:val="20"/>
              </w:rPr>
              <w:t>λ</w:t>
            </w:r>
            <w:r>
              <w:rPr>
                <w:rFonts w:ascii="Arial" w:eastAsia="Malgun Gothic" w:hAnsi="Arial" w:cs="Arial"/>
                <w:kern w:val="24"/>
                <w:sz w:val="20"/>
                <w:szCs w:val="20"/>
                <w:lang w:val="sv-SE"/>
              </w:rPr>
              <w:t>. (d</w:t>
            </w:r>
            <w:r>
              <w:rPr>
                <w:rFonts w:ascii="Arial" w:eastAsia="Malgun Gothic" w:hAnsi="Arial" w:cs="Arial"/>
                <w:kern w:val="24"/>
                <w:position w:val="-6"/>
                <w:sz w:val="20"/>
                <w:szCs w:val="20"/>
                <w:vertAlign w:val="subscript"/>
                <w:lang w:val="sv-SE"/>
              </w:rPr>
              <w:t>g,V</w:t>
            </w:r>
            <w:r>
              <w:rPr>
                <w:rFonts w:ascii="Arial" w:eastAsia="Malgun Gothic" w:hAnsi="Arial" w:cs="Arial"/>
                <w:kern w:val="24"/>
                <w:sz w:val="20"/>
                <w:szCs w:val="20"/>
                <w:lang w:val="sv-SE"/>
              </w:rPr>
              <w:t>,d</w:t>
            </w:r>
            <w:r>
              <w:rPr>
                <w:rFonts w:ascii="Arial" w:eastAsia="Malgun Gothic" w:hAnsi="Arial" w:cs="Arial"/>
                <w:kern w:val="24"/>
                <w:position w:val="-6"/>
                <w:sz w:val="20"/>
                <w:szCs w:val="20"/>
                <w:vertAlign w:val="subscript"/>
                <w:lang w:val="sv-SE"/>
              </w:rPr>
              <w:t>g,H</w:t>
            </w:r>
            <w:r>
              <w:rPr>
                <w:rFonts w:ascii="Arial" w:eastAsia="Malgun Gothic" w:hAnsi="Arial" w:cs="Arial"/>
                <w:kern w:val="24"/>
                <w:sz w:val="20"/>
                <w:szCs w:val="20"/>
                <w:lang w:val="sv-SE"/>
              </w:rPr>
              <w:t>) = (0, 0)</w:t>
            </w:r>
            <w:r>
              <w:rPr>
                <w:rFonts w:ascii="Arial" w:eastAsia="Malgun Gothic" w:hAnsi="Arial" w:cs="Arial"/>
                <w:kern w:val="24"/>
                <w:sz w:val="20"/>
                <w:szCs w:val="20"/>
              </w:rPr>
              <w:t>λ</w:t>
            </w:r>
            <w:r>
              <w:rPr>
                <w:rFonts w:ascii="Arial" w:eastAsia="Malgun Gothic" w:hAnsi="Arial" w:cs="Arial"/>
                <w:kern w:val="24"/>
                <w:sz w:val="20"/>
                <w:szCs w:val="20"/>
                <w:lang w:val="sv-SE"/>
              </w:rPr>
              <w:t>.</w:t>
            </w:r>
            <w:r>
              <w:rPr>
                <w:rFonts w:ascii="Arial" w:hAnsi="Arial" w:cs="Arial"/>
                <w:sz w:val="20"/>
                <w:szCs w:val="20"/>
              </w:rPr>
              <w:t xml:space="preserve"> </w:t>
            </w:r>
            <w:r>
              <w:rPr>
                <w:rFonts w:ascii="Arial" w:eastAsia="Malgun Gothic" w:hAnsi="Arial" w:cs="Arial"/>
                <w:kern w:val="24"/>
                <w:sz w:val="20"/>
                <w:szCs w:val="20"/>
              </w:rPr>
              <w:t>Θ</w:t>
            </w:r>
            <w:r>
              <w:rPr>
                <w:rFonts w:ascii="Arial" w:eastAsia="Malgun Gothic" w:hAnsi="Arial" w:cs="Arial"/>
                <w:kern w:val="24"/>
                <w:position w:val="-6"/>
                <w:sz w:val="20"/>
                <w:szCs w:val="20"/>
                <w:vertAlign w:val="subscript"/>
              </w:rPr>
              <w:t>mg,ng</w:t>
            </w:r>
            <w:r>
              <w:rPr>
                <w:rFonts w:ascii="Arial" w:eastAsia="Malgun Gothic" w:hAnsi="Arial" w:cs="Arial"/>
                <w:kern w:val="24"/>
                <w:sz w:val="20"/>
                <w:szCs w:val="20"/>
              </w:rPr>
              <w:t>=90; Ω</w:t>
            </w:r>
            <w:r>
              <w:rPr>
                <w:rFonts w:ascii="Arial" w:eastAsia="Malgun Gothic" w:hAnsi="Arial" w:cs="Arial"/>
                <w:kern w:val="24"/>
                <w:position w:val="-6"/>
                <w:sz w:val="20"/>
                <w:szCs w:val="20"/>
                <w:vertAlign w:val="subscript"/>
              </w:rPr>
              <w:t>0,1</w:t>
            </w:r>
            <w:r>
              <w:rPr>
                <w:rFonts w:ascii="Arial" w:eastAsia="Malgun Gothic" w:hAnsi="Arial" w:cs="Arial"/>
                <w:kern w:val="24"/>
                <w:sz w:val="20"/>
                <w:szCs w:val="20"/>
              </w:rPr>
              <w:t>=Ω</w:t>
            </w:r>
            <w:r>
              <w:rPr>
                <w:rFonts w:ascii="Arial" w:eastAsia="Malgun Gothic" w:hAnsi="Arial" w:cs="Arial"/>
                <w:kern w:val="24"/>
                <w:position w:val="-6"/>
                <w:sz w:val="20"/>
                <w:szCs w:val="20"/>
                <w:vertAlign w:val="subscript"/>
              </w:rPr>
              <w:t>0,0</w:t>
            </w:r>
            <w:r>
              <w:rPr>
                <w:rFonts w:ascii="Arial" w:eastAsia="Malgun Gothic" w:hAnsi="Arial" w:cs="Arial"/>
                <w:kern w:val="24"/>
                <w:sz w:val="20"/>
                <w:szCs w:val="20"/>
              </w:rPr>
              <w:t>+180;</w:t>
            </w:r>
            <w:r>
              <w:rPr>
                <w:rFonts w:ascii="Arial" w:hAnsi="Arial" w:cs="Arial"/>
                <w:sz w:val="20"/>
                <w:szCs w:val="20"/>
              </w:rPr>
              <w:t xml:space="preserve"> The polarization angles are 0 and 90</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b/>
                <w:sz w:val="18"/>
                <w:szCs w:val="18"/>
                <w:lang w:eastAsia="ja-JP"/>
              </w:rPr>
              <w:t>UE array orientation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402F9E" w:rsidRDefault="00402F9E">
            <w:pPr>
              <w:adjustRightInd w:val="0"/>
              <w:snapToGrid w:val="0"/>
              <w:rPr>
                <w:rFonts w:ascii="Arial" w:hAnsi="Arial" w:cs="Arial"/>
                <w:sz w:val="18"/>
                <w:szCs w:val="18"/>
                <w:lang w:eastAsia="ja-JP"/>
              </w:rPr>
            </w:pPr>
            <w:r>
              <w:rPr>
                <w:rFonts w:eastAsia="Malgun Gothic" w:cs="Arial"/>
                <w:kern w:val="24"/>
                <w:sz w:val="18"/>
                <w:szCs w:val="21"/>
              </w:rPr>
              <w:t>Ω</w:t>
            </w:r>
            <w:r>
              <w:rPr>
                <w:rFonts w:eastAsia="Malgun Gothic" w:cs="Arial"/>
                <w:i/>
                <w:iCs/>
                <w:kern w:val="24"/>
                <w:position w:val="-6"/>
                <w:sz w:val="18"/>
                <w:szCs w:val="21"/>
                <w:vertAlign w:val="subscript"/>
              </w:rPr>
              <w:t>UT,</w:t>
            </w:r>
            <w:r>
              <w:rPr>
                <w:rFonts w:ascii="Symbol" w:eastAsia="Malgun Gothic" w:hAnsi="Symbol" w:cs="Arial"/>
                <w:i/>
                <w:iCs/>
                <w:kern w:val="24"/>
                <w:position w:val="-6"/>
                <w:sz w:val="18"/>
                <w:szCs w:val="21"/>
                <w:vertAlign w:val="subscript"/>
              </w:rPr>
              <w:t></w:t>
            </w:r>
            <w:r>
              <w:rPr>
                <w:rFonts w:ascii="Symbol" w:eastAsia="Malgun Gothic" w:hAnsi="Symbol" w:cs="Arial"/>
                <w:i/>
                <w:iCs/>
                <w:kern w:val="24"/>
                <w:position w:val="-6"/>
                <w:sz w:val="18"/>
                <w:szCs w:val="21"/>
                <w:vertAlign w:val="subscript"/>
              </w:rPr>
              <w:t></w:t>
            </w:r>
            <w:r>
              <w:rPr>
                <w:rFonts w:eastAsia="Malgun Gothic" w:cs="Arial"/>
                <w:i/>
                <w:iCs/>
                <w:kern w:val="24"/>
                <w:position w:val="-6"/>
                <w:sz w:val="18"/>
                <w:szCs w:val="21"/>
                <w:vertAlign w:val="subscript"/>
              </w:rPr>
              <w:t xml:space="preserve"> </w:t>
            </w:r>
            <w:r>
              <w:rPr>
                <w:rFonts w:ascii="Arial" w:eastAsia="MS Mincho" w:hAnsi="Arial" w:cs="Arial"/>
                <w:kern w:val="24"/>
                <w:sz w:val="18"/>
                <w:szCs w:val="21"/>
              </w:rPr>
              <w:t>uniformly distributed on [0,360] degree,</w:t>
            </w:r>
            <w:r>
              <w:rPr>
                <w:rFonts w:ascii="Arial" w:eastAsia="MS Mincho" w:hAnsi="Arial"/>
                <w:kern w:val="24"/>
                <w:sz w:val="18"/>
                <w:szCs w:val="21"/>
              </w:rPr>
              <w:t xml:space="preserve"> </w:t>
            </w:r>
            <w:r>
              <w:rPr>
                <w:rFonts w:eastAsia="Malgun Gothic" w:cs="Arial"/>
                <w:kern w:val="24"/>
                <w:sz w:val="18"/>
                <w:szCs w:val="21"/>
              </w:rPr>
              <w:t>Ω</w:t>
            </w:r>
            <w:r>
              <w:rPr>
                <w:rFonts w:eastAsia="Malgun Gothic" w:cs="Arial"/>
                <w:i/>
                <w:iCs/>
                <w:kern w:val="24"/>
                <w:position w:val="-6"/>
                <w:sz w:val="18"/>
                <w:szCs w:val="21"/>
                <w:vertAlign w:val="subscript"/>
              </w:rPr>
              <w:t>UT,</w:t>
            </w:r>
            <w:r>
              <w:rPr>
                <w:rFonts w:ascii="Symbol" w:eastAsia="Malgun Gothic" w:hAnsi="Symbol" w:cs="Arial"/>
                <w:i/>
                <w:iCs/>
                <w:kern w:val="24"/>
                <w:position w:val="-6"/>
                <w:sz w:val="18"/>
                <w:szCs w:val="21"/>
                <w:vertAlign w:val="subscript"/>
              </w:rPr>
              <w:t></w:t>
            </w:r>
            <w:r>
              <w:rPr>
                <w:rFonts w:ascii="Symbol" w:eastAsia="Malgun Gothic" w:hAnsi="Symbol" w:cs="Arial"/>
                <w:kern w:val="24"/>
                <w:sz w:val="18"/>
                <w:szCs w:val="21"/>
              </w:rPr>
              <w:t></w:t>
            </w:r>
            <w:r>
              <w:rPr>
                <w:rFonts w:ascii="Arial" w:eastAsia="MS Mincho" w:hAnsi="Arial" w:cs="Arial"/>
                <w:kern w:val="24"/>
                <w:sz w:val="18"/>
                <w:szCs w:val="18"/>
              </w:rPr>
              <w:t xml:space="preserve">= 0 </w:t>
            </w:r>
            <w:r>
              <w:rPr>
                <w:rFonts w:ascii="Arial" w:hAnsi="Arial" w:cs="Arial"/>
                <w:sz w:val="18"/>
                <w:szCs w:val="18"/>
              </w:rPr>
              <w:t>degree,</w:t>
            </w:r>
            <w:r>
              <w:rPr>
                <w:sz w:val="15"/>
                <w:szCs w:val="20"/>
              </w:rPr>
              <w:t xml:space="preserve"> </w:t>
            </w:r>
            <w:r>
              <w:rPr>
                <w:rFonts w:eastAsia="Malgun Gothic" w:cs="Arial"/>
                <w:kern w:val="24"/>
                <w:sz w:val="18"/>
                <w:szCs w:val="21"/>
              </w:rPr>
              <w:t>Ω</w:t>
            </w:r>
            <w:r>
              <w:rPr>
                <w:rFonts w:eastAsia="Malgun Gothic" w:cs="Arial"/>
                <w:i/>
                <w:iCs/>
                <w:kern w:val="24"/>
                <w:position w:val="-6"/>
                <w:sz w:val="18"/>
                <w:szCs w:val="21"/>
                <w:vertAlign w:val="subscript"/>
              </w:rPr>
              <w:t>UT,</w:t>
            </w:r>
            <w:r>
              <w:rPr>
                <w:rFonts w:ascii="Symbol" w:eastAsia="Malgun Gothic" w:hAnsi="Symbol" w:cs="Arial"/>
                <w:i/>
                <w:iCs/>
                <w:kern w:val="24"/>
                <w:position w:val="-6"/>
                <w:sz w:val="18"/>
                <w:szCs w:val="21"/>
                <w:vertAlign w:val="subscript"/>
              </w:rPr>
              <w:t></w:t>
            </w:r>
            <w:r>
              <w:rPr>
                <w:rFonts w:eastAsia="Malgun Gothic"/>
                <w:i/>
                <w:iCs/>
                <w:kern w:val="24"/>
                <w:position w:val="-6"/>
                <w:sz w:val="18"/>
                <w:szCs w:val="21"/>
                <w:vertAlign w:val="subscript"/>
              </w:rPr>
              <w:t xml:space="preserve"> </w:t>
            </w:r>
            <w:r>
              <w:rPr>
                <w:rFonts w:ascii="Arial" w:eastAsia="MS Mincho" w:hAnsi="Arial" w:cs="Arial"/>
                <w:kern w:val="24"/>
                <w:sz w:val="18"/>
                <w:szCs w:val="18"/>
              </w:rPr>
              <w:t xml:space="preserve">= 0 </w:t>
            </w:r>
            <w:r>
              <w:rPr>
                <w:rFonts w:ascii="Arial" w:hAnsi="Arial" w:cs="Arial"/>
                <w:sz w:val="18"/>
                <w:szCs w:val="18"/>
              </w:rPr>
              <w:t>degree</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hint="eastAsia"/>
                <w:b/>
                <w:sz w:val="18"/>
                <w:szCs w:val="18"/>
              </w:rPr>
              <w:t>BS</w:t>
            </w:r>
            <w:r>
              <w:rPr>
                <w:rFonts w:ascii="Arial" w:hAnsi="Arial" w:cs="Arial"/>
                <w:b/>
                <w:sz w:val="18"/>
                <w:szCs w:val="18"/>
                <w:lang w:eastAsia="ja-JP"/>
              </w:rPr>
              <w:t xml:space="preserve"> antenna pattern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402F9E" w:rsidRDefault="00402F9E">
            <w:pPr>
              <w:rPr>
                <w:rFonts w:ascii="Arial" w:hAnsi="Arial" w:cs="Arial"/>
                <w:sz w:val="18"/>
                <w:szCs w:val="18"/>
              </w:rPr>
            </w:pPr>
            <w:r>
              <w:rPr>
                <w:rFonts w:ascii="Arial" w:hAnsi="Arial" w:cs="Arial"/>
                <w:sz w:val="18"/>
                <w:szCs w:val="18"/>
                <w:lang w:eastAsia="ja-JP"/>
              </w:rPr>
              <w:t>According to TR38.802</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b/>
                <w:sz w:val="18"/>
                <w:szCs w:val="18"/>
                <w:lang w:eastAsia="ja-JP"/>
              </w:rPr>
              <w:t>UE antenna pattern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402F9E" w:rsidRDefault="00402F9E">
            <w:pPr>
              <w:rPr>
                <w:rFonts w:ascii="Arial" w:hAnsi="Arial" w:cs="Arial"/>
                <w:sz w:val="18"/>
                <w:szCs w:val="18"/>
              </w:rPr>
            </w:pPr>
            <w:r>
              <w:rPr>
                <w:rFonts w:ascii="Arial" w:hAnsi="Arial" w:cs="Arial"/>
                <w:sz w:val="18"/>
                <w:szCs w:val="18"/>
              </w:rPr>
              <w:t xml:space="preserve">See </w:t>
            </w:r>
            <w:r>
              <w:rPr>
                <w:rFonts w:ascii="Arial" w:hAnsi="Arial" w:cs="Arial" w:hint="eastAsia"/>
                <w:sz w:val="18"/>
                <w:szCs w:val="18"/>
                <w:lang w:eastAsia="ja-JP"/>
              </w:rPr>
              <w:t>Table A.</w:t>
            </w:r>
            <w:r>
              <w:rPr>
                <w:rFonts w:ascii="Arial" w:hAnsi="Arial" w:cs="Arial" w:hint="eastAsia"/>
                <w:sz w:val="18"/>
                <w:szCs w:val="18"/>
              </w:rPr>
              <w:t>2.1-8 in TR 38.802</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hint="eastAsia"/>
                <w:b/>
                <w:sz w:val="18"/>
                <w:szCs w:val="18"/>
                <w:lang w:eastAsia="ja-JP"/>
              </w:rPr>
              <w:t>BS</w:t>
            </w:r>
            <w:r>
              <w:rPr>
                <w:rFonts w:ascii="Arial" w:hAnsi="Arial" w:cs="Arial"/>
                <w:b/>
                <w:sz w:val="18"/>
                <w:szCs w:val="18"/>
                <w:lang w:eastAsia="ja-JP"/>
              </w:rPr>
              <w:t xml:space="preserve"> antenna height</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402F9E" w:rsidRDefault="004676D2">
            <w:pPr>
              <w:rPr>
                <w:rFonts w:ascii="Arial" w:hAnsi="Arial" w:cs="Arial"/>
                <w:sz w:val="18"/>
                <w:szCs w:val="18"/>
                <w:lang w:eastAsia="ja-JP"/>
              </w:rPr>
            </w:pPr>
            <w:r w:rsidRPr="004C3740">
              <w:rPr>
                <w:rFonts w:ascii="Arial" w:hAnsi="Arial" w:cs="Arial"/>
                <w:sz w:val="18"/>
                <w:szCs w:val="18"/>
                <w:lang w:eastAsia="ja-JP"/>
              </w:rPr>
              <w:t>25m</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b/>
                <w:sz w:val="18"/>
                <w:szCs w:val="18"/>
                <w:lang w:eastAsia="ja-JP"/>
              </w:rPr>
              <w:t>UE antenna height</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402F9E" w:rsidRDefault="00402F9E">
            <w:pPr>
              <w:rPr>
                <w:rFonts w:ascii="Arial" w:hAnsi="Arial" w:cs="Arial"/>
                <w:sz w:val="18"/>
                <w:szCs w:val="18"/>
                <w:lang w:eastAsia="ja-JP"/>
              </w:rPr>
            </w:pPr>
            <w:r>
              <w:rPr>
                <w:rFonts w:ascii="Arial" w:hAnsi="Arial" w:cs="Arial" w:hint="eastAsia"/>
                <w:sz w:val="18"/>
                <w:szCs w:val="18"/>
                <w:lang w:eastAsia="ja-JP"/>
              </w:rPr>
              <w:t>1.5 m</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b/>
                <w:sz w:val="18"/>
                <w:szCs w:val="18"/>
                <w:lang w:eastAsia="ja-JP"/>
              </w:rPr>
              <w:t>UE antenna</w:t>
            </w:r>
            <w:r>
              <w:rPr>
                <w:rFonts w:ascii="Arial" w:hAnsi="Arial" w:cs="Arial" w:hint="eastAsia"/>
                <w:b/>
                <w:sz w:val="18"/>
                <w:szCs w:val="18"/>
                <w:lang w:eastAsia="ja-JP"/>
              </w:rPr>
              <w:t xml:space="preserve"> gain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402F9E" w:rsidRDefault="00402F9E">
            <w:pPr>
              <w:rPr>
                <w:rFonts w:ascii="Arial" w:hAnsi="Arial" w:cs="Arial"/>
                <w:sz w:val="18"/>
                <w:szCs w:val="18"/>
                <w:lang w:eastAsia="ja-JP"/>
              </w:rPr>
            </w:pPr>
            <w:r>
              <w:rPr>
                <w:rFonts w:ascii="Arial" w:hAnsi="Arial" w:cs="Arial" w:hint="eastAsia"/>
                <w:sz w:val="18"/>
                <w:szCs w:val="18"/>
                <w:lang w:eastAsia="ja-JP"/>
              </w:rPr>
              <w:t>5dBi</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b/>
                <w:sz w:val="18"/>
                <w:szCs w:val="18"/>
                <w:lang w:eastAsia="ja-JP"/>
              </w:rPr>
              <w:t>Noise figure for BS</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402F9E" w:rsidRDefault="00402F9E">
            <w:pPr>
              <w:rPr>
                <w:rFonts w:ascii="Arial" w:hAnsi="Arial" w:cs="Arial"/>
                <w:sz w:val="18"/>
                <w:szCs w:val="18"/>
                <w:lang w:eastAsia="ja-JP"/>
              </w:rPr>
            </w:pPr>
            <w:r>
              <w:rPr>
                <w:rFonts w:ascii="Arial" w:hAnsi="Arial" w:cs="Arial" w:hint="eastAsia"/>
                <w:sz w:val="18"/>
                <w:szCs w:val="18"/>
                <w:lang w:eastAsia="ja-JP"/>
              </w:rPr>
              <w:t>7dB</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hint="eastAsia"/>
                <w:b/>
                <w:sz w:val="18"/>
                <w:szCs w:val="18"/>
                <w:lang w:eastAsia="ja-JP"/>
              </w:rPr>
              <w:t>UE receiver noise figure</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402F9E" w:rsidRDefault="00402F9E">
            <w:pPr>
              <w:rPr>
                <w:rFonts w:ascii="Arial" w:hAnsi="Arial" w:cs="Arial"/>
                <w:sz w:val="18"/>
                <w:szCs w:val="18"/>
                <w:lang w:eastAsia="ja-JP"/>
              </w:rPr>
            </w:pPr>
            <w:r>
              <w:rPr>
                <w:rFonts w:ascii="Arial" w:hAnsi="Arial" w:cs="Arial" w:hint="eastAsia"/>
                <w:sz w:val="18"/>
                <w:szCs w:val="18"/>
                <w:lang w:eastAsia="ja-JP"/>
              </w:rPr>
              <w:t>10dB</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Default="00402F9E">
            <w:pPr>
              <w:rPr>
                <w:rFonts w:ascii="Arial" w:hAnsi="Arial" w:cs="Arial"/>
                <w:b/>
                <w:sz w:val="18"/>
                <w:szCs w:val="18"/>
                <w:lang w:eastAsia="ja-JP"/>
              </w:rPr>
            </w:pPr>
            <w:r>
              <w:rPr>
                <w:rFonts w:ascii="Arial" w:hAnsi="Arial" w:cs="Arial"/>
                <w:b/>
                <w:sz w:val="18"/>
                <w:szCs w:val="18"/>
                <w:lang w:eastAsia="ja-JP"/>
              </w:rPr>
              <w:lastRenderedPageBreak/>
              <w:t>UE distribution</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02F9E" w:rsidRPr="004C3740" w:rsidRDefault="00402F9E">
            <w:pPr>
              <w:pStyle w:val="tal0"/>
              <w:spacing w:line="252" w:lineRule="auto"/>
              <w:jc w:val="both"/>
              <w:rPr>
                <w:lang w:eastAsia="ja-JP"/>
              </w:rPr>
            </w:pPr>
            <w:r w:rsidRPr="004C3740">
              <w:rPr>
                <w:lang w:eastAsia="ja-JP"/>
              </w:rPr>
              <w:t xml:space="preserve">100% Indoor, </w:t>
            </w:r>
            <w:r w:rsidR="004676D2" w:rsidRPr="004C3740">
              <w:rPr>
                <w:lang w:eastAsia="ja-JP"/>
              </w:rPr>
              <w:t>60</w:t>
            </w:r>
            <w:r w:rsidRPr="004C3740">
              <w:rPr>
                <w:lang w:eastAsia="ja-JP"/>
              </w:rPr>
              <w:t>km/h,</w:t>
            </w:r>
          </w:p>
          <w:p w:rsidR="00402F9E" w:rsidRDefault="00402F9E">
            <w:pPr>
              <w:pStyle w:val="tal0"/>
              <w:spacing w:line="252" w:lineRule="auto"/>
              <w:jc w:val="both"/>
              <w:rPr>
                <w:lang w:eastAsia="ja-JP"/>
              </w:rPr>
            </w:pPr>
            <w:r w:rsidRPr="004C3740">
              <w:rPr>
                <w:lang w:eastAsia="ja-JP"/>
              </w:rPr>
              <w:t>10 users per BS</w:t>
            </w:r>
            <w:r>
              <w:rPr>
                <w:lang w:eastAsia="ja-JP"/>
              </w:rPr>
              <w:t xml:space="preserve"> </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402F9E" w:rsidRDefault="00402F9E">
            <w:pPr>
              <w:rPr>
                <w:rFonts w:ascii="Arial" w:hAnsi="Arial" w:cs="Arial"/>
                <w:b/>
                <w:sz w:val="18"/>
                <w:szCs w:val="18"/>
                <w:lang w:eastAsia="ja-JP"/>
              </w:rPr>
            </w:pPr>
            <w:r>
              <w:rPr>
                <w:rFonts w:ascii="Arial" w:hAnsi="Arial" w:cs="Arial"/>
                <w:b/>
                <w:sz w:val="18"/>
                <w:szCs w:val="18"/>
                <w:lang w:eastAsia="ja-JP"/>
              </w:rPr>
              <w:t>UE receiver type</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402F9E" w:rsidRDefault="00402F9E">
            <w:pPr>
              <w:pStyle w:val="tal0"/>
              <w:spacing w:line="252" w:lineRule="auto"/>
              <w:jc w:val="both"/>
              <w:rPr>
                <w:color w:val="000000"/>
              </w:rPr>
            </w:pPr>
            <w:r>
              <w:rPr>
                <w:color w:val="000000"/>
              </w:rPr>
              <w:t xml:space="preserve">MMSE-IRC </w:t>
            </w:r>
          </w:p>
        </w:tc>
      </w:tr>
      <w:tr w:rsidR="00402F9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402F9E" w:rsidRDefault="00402F9E">
            <w:pPr>
              <w:rPr>
                <w:rFonts w:ascii="Arial" w:hAnsi="Arial" w:cs="Arial"/>
                <w:b/>
                <w:sz w:val="18"/>
                <w:szCs w:val="18"/>
                <w:lang w:eastAsia="ja-JP"/>
              </w:rPr>
            </w:pPr>
            <w:r>
              <w:rPr>
                <w:rFonts w:ascii="Arial" w:hAnsi="Arial" w:cs="Arial"/>
                <w:b/>
                <w:sz w:val="18"/>
                <w:szCs w:val="18"/>
                <w:lang w:eastAsia="ja-JP"/>
              </w:rPr>
              <w:t>Transmission scheme</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402F9E" w:rsidRDefault="00402F9E">
            <w:pPr>
              <w:pStyle w:val="tal0"/>
              <w:spacing w:line="252" w:lineRule="auto"/>
              <w:jc w:val="both"/>
              <w:rPr>
                <w:color w:val="000000"/>
              </w:rPr>
            </w:pPr>
            <w:r>
              <w:rPr>
                <w:color w:val="000000"/>
              </w:rPr>
              <w:t xml:space="preserve">SU, Rank adaptation </w:t>
            </w:r>
          </w:p>
        </w:tc>
      </w:tr>
    </w:tbl>
    <w:p w:rsidR="00402F9E" w:rsidRDefault="00402F9E">
      <w:pPr>
        <w:jc w:val="both"/>
        <w:rPr>
          <w:lang w:val="en-GB"/>
        </w:rPr>
      </w:pPr>
      <w:r>
        <w:rPr>
          <w:rFonts w:hint="eastAsia"/>
          <w:sz w:val="20"/>
          <w:szCs w:val="20"/>
        </w:rPr>
        <w:t>Notes: Any other parameters</w:t>
      </w:r>
      <w:r>
        <w:rPr>
          <w:sz w:val="20"/>
          <w:szCs w:val="20"/>
        </w:rPr>
        <w:t xml:space="preserve"> not specified</w:t>
      </w:r>
      <w:r>
        <w:rPr>
          <w:rFonts w:hint="eastAsia"/>
          <w:sz w:val="20"/>
          <w:szCs w:val="20"/>
        </w:rPr>
        <w:t xml:space="preserve"> here remain the same as those in NR evaluation assumption </w:t>
      </w:r>
      <w:r>
        <w:rPr>
          <w:sz w:val="20"/>
          <w:szCs w:val="20"/>
        </w:rPr>
        <w:t>for beam management in Rel-16 eNR-MIMO.</w:t>
      </w:r>
    </w:p>
    <w:p w:rsidR="00402F9E" w:rsidRDefault="00402F9E">
      <w:pPr>
        <w:pStyle w:val="NoSpacing1"/>
        <w:snapToGrid w:val="0"/>
        <w:rPr>
          <w:sz w:val="20"/>
          <w:szCs w:val="20"/>
          <w:lang w:val="en-GB"/>
        </w:rPr>
      </w:pPr>
    </w:p>
    <w:p w:rsidR="00402F9E" w:rsidRDefault="00402F9E">
      <w:pPr>
        <w:pStyle w:val="NoSpacing1"/>
        <w:snapToGrid w:val="0"/>
        <w:rPr>
          <w:rFonts w:hint="eastAsia"/>
          <w:sz w:val="20"/>
          <w:szCs w:val="20"/>
          <w:lang w:val="en-GB"/>
        </w:rPr>
      </w:pPr>
    </w:p>
    <w:sectPr w:rsidR="00402F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8F23F12"/>
    <w:multiLevelType w:val="multilevel"/>
    <w:tmpl w:val="D8F23F12"/>
    <w:lvl w:ilvl="0">
      <w:start w:val="1"/>
      <w:numFmt w:val="bullet"/>
      <w:lvlText w:val="-"/>
      <w:lvlJc w:val="left"/>
      <w:pPr>
        <w:ind w:left="360" w:hanging="360"/>
      </w:pPr>
      <w:rPr>
        <w:rFonts w:ascii="Times New Roman" w:eastAsia="宋体" w:hAnsi="Times New Roman" w:cs="Times New Roman" w:hint="default"/>
      </w:rPr>
    </w:lvl>
    <w:lvl w:ilvl="1">
      <w:start w:val="39"/>
      <w:numFmt w:val="bullet"/>
      <w:lvlText w:val="•"/>
      <w:lvlJc w:val="left"/>
      <w:pPr>
        <w:ind w:left="840" w:hanging="420"/>
      </w:pPr>
      <w:rPr>
        <w:rFonts w:ascii="宋体" w:hAnsi="宋体"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
    <w:nsid w:val="060D3FFB"/>
    <w:multiLevelType w:val="multilevel"/>
    <w:tmpl w:val="060D3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nsid w:val="422B3F28"/>
    <w:multiLevelType w:val="multilevel"/>
    <w:tmpl w:val="422B3F2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61083285"/>
    <w:multiLevelType w:val="multilevel"/>
    <w:tmpl w:val="61083285"/>
    <w:lvl w:ilvl="0">
      <w:start w:val="1"/>
      <w:numFmt w:val="bullet"/>
      <w:lvlText w:val="-"/>
      <w:lvlJc w:val="left"/>
      <w:pPr>
        <w:ind w:left="360" w:hanging="360"/>
      </w:pPr>
      <w:rPr>
        <w:rFonts w:ascii="Times New Roman" w:eastAsia="宋体" w:hAnsi="Times New Roman" w:cs="Times New Roman" w:hint="default"/>
      </w:rPr>
    </w:lvl>
    <w:lvl w:ilvl="1">
      <w:start w:val="39"/>
      <w:numFmt w:val="bullet"/>
      <w:lvlText w:val="•"/>
      <w:lvlJc w:val="left"/>
      <w:pPr>
        <w:ind w:left="840" w:hanging="420"/>
      </w:pPr>
      <w:rPr>
        <w:rFonts w:ascii="宋体" w:hAnsi="宋体"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618869EA"/>
    <w:multiLevelType w:val="multilevel"/>
    <w:tmpl w:val="618869EA"/>
    <w:lvl w:ilvl="0">
      <w:start w:val="1"/>
      <w:numFmt w:val="decimal"/>
      <w:lvlText w:val="%1."/>
      <w:lvlJc w:val="left"/>
      <w:pPr>
        <w:tabs>
          <w:tab w:val="num" w:pos="432"/>
        </w:tabs>
        <w:ind w:left="432" w:hanging="432"/>
      </w:pPr>
      <w:rPr>
        <w:rFonts w:hint="eastAsia"/>
        <w:b/>
        <w:i w:val="0"/>
        <w:sz w:val="28"/>
      </w:rPr>
    </w:lvl>
    <w:lvl w:ilvl="1">
      <w:start w:val="1"/>
      <w:numFmt w:val="decimal"/>
      <w:lvlText w:val="%1.%2"/>
      <w:lvlJc w:val="left"/>
      <w:pPr>
        <w:tabs>
          <w:tab w:val="num" w:pos="576"/>
        </w:tabs>
        <w:ind w:left="576" w:hanging="576"/>
      </w:pPr>
      <w:rPr>
        <w:rFonts w:hint="eastAsia"/>
        <w:b/>
        <w:i w:val="0"/>
        <w:sz w:val="24"/>
      </w:rPr>
    </w:lvl>
    <w:lvl w:ilvl="2">
      <w:start w:val="1"/>
      <w:numFmt w:val="decimal"/>
      <w:lvlText w:val="%1.%2.%3"/>
      <w:lvlJc w:val="left"/>
      <w:pPr>
        <w:tabs>
          <w:tab w:val="num" w:pos="720"/>
        </w:tabs>
        <w:ind w:left="720" w:hanging="720"/>
      </w:pPr>
      <w:rPr>
        <w:rFonts w:hint="eastAsia"/>
        <w:b/>
        <w:i w:val="0"/>
        <w:sz w:val="24"/>
        <w:szCs w:val="24"/>
      </w:rPr>
    </w:lvl>
    <w:lvl w:ilvl="3">
      <w:start w:val="1"/>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isLg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F397D16"/>
    <w:multiLevelType w:val="multilevel"/>
    <w:tmpl w:val="7F397D16"/>
    <w:lvl w:ilvl="0">
      <w:start w:val="1"/>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b/>
        <w:sz w:val="20"/>
        <w:u w:val="none"/>
        <w:lang w:val="en-GB"/>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7"/>
  </w:num>
  <w:num w:numId="4">
    <w:abstractNumId w:val="8"/>
  </w:num>
  <w:num w:numId="5">
    <w:abstractNumId w:val="2"/>
  </w:num>
  <w:num w:numId="6">
    <w:abstractNumId w:val="4"/>
  </w:num>
  <w:num w:numId="7">
    <w:abstractNumId w:val="3"/>
  </w:num>
  <w:num w:numId="8">
    <w:abstractNumId w:val="9"/>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FFB"/>
    <w:rsid w:val="00001908"/>
    <w:rsid w:val="00001B9A"/>
    <w:rsid w:val="00002071"/>
    <w:rsid w:val="000021BD"/>
    <w:rsid w:val="000022D5"/>
    <w:rsid w:val="00002C54"/>
    <w:rsid w:val="00002EA0"/>
    <w:rsid w:val="0000475E"/>
    <w:rsid w:val="000049AC"/>
    <w:rsid w:val="00004ED1"/>
    <w:rsid w:val="0000557C"/>
    <w:rsid w:val="000055D1"/>
    <w:rsid w:val="00005762"/>
    <w:rsid w:val="000057B9"/>
    <w:rsid w:val="000062AC"/>
    <w:rsid w:val="0000637C"/>
    <w:rsid w:val="000064CE"/>
    <w:rsid w:val="000066C6"/>
    <w:rsid w:val="000066E7"/>
    <w:rsid w:val="00006711"/>
    <w:rsid w:val="000068DA"/>
    <w:rsid w:val="00006A0E"/>
    <w:rsid w:val="00006CC8"/>
    <w:rsid w:val="0000705B"/>
    <w:rsid w:val="00007304"/>
    <w:rsid w:val="00007EEB"/>
    <w:rsid w:val="00010512"/>
    <w:rsid w:val="00010969"/>
    <w:rsid w:val="000114C3"/>
    <w:rsid w:val="000114F8"/>
    <w:rsid w:val="00011890"/>
    <w:rsid w:val="00011BB4"/>
    <w:rsid w:val="00011C8C"/>
    <w:rsid w:val="00011CE0"/>
    <w:rsid w:val="00012115"/>
    <w:rsid w:val="000123B6"/>
    <w:rsid w:val="000128EC"/>
    <w:rsid w:val="00012E08"/>
    <w:rsid w:val="00012E58"/>
    <w:rsid w:val="000132A2"/>
    <w:rsid w:val="00013C5E"/>
    <w:rsid w:val="00014115"/>
    <w:rsid w:val="0001445A"/>
    <w:rsid w:val="00014604"/>
    <w:rsid w:val="0001555C"/>
    <w:rsid w:val="000164F2"/>
    <w:rsid w:val="00016BE3"/>
    <w:rsid w:val="00017916"/>
    <w:rsid w:val="0001796D"/>
    <w:rsid w:val="00017CFA"/>
    <w:rsid w:val="00017E5A"/>
    <w:rsid w:val="0002047C"/>
    <w:rsid w:val="000204F2"/>
    <w:rsid w:val="0002066E"/>
    <w:rsid w:val="00020B43"/>
    <w:rsid w:val="00020ECF"/>
    <w:rsid w:val="000215D1"/>
    <w:rsid w:val="0002160B"/>
    <w:rsid w:val="00021644"/>
    <w:rsid w:val="00021E90"/>
    <w:rsid w:val="0002242E"/>
    <w:rsid w:val="0002249A"/>
    <w:rsid w:val="00022684"/>
    <w:rsid w:val="000228FC"/>
    <w:rsid w:val="00022C5F"/>
    <w:rsid w:val="000235A2"/>
    <w:rsid w:val="000235FB"/>
    <w:rsid w:val="00023951"/>
    <w:rsid w:val="000244B9"/>
    <w:rsid w:val="000244CA"/>
    <w:rsid w:val="00024585"/>
    <w:rsid w:val="000248B9"/>
    <w:rsid w:val="00025226"/>
    <w:rsid w:val="00025695"/>
    <w:rsid w:val="000257BD"/>
    <w:rsid w:val="00025E0F"/>
    <w:rsid w:val="00025F6C"/>
    <w:rsid w:val="00026826"/>
    <w:rsid w:val="00026B95"/>
    <w:rsid w:val="00026C59"/>
    <w:rsid w:val="000271B7"/>
    <w:rsid w:val="00027712"/>
    <w:rsid w:val="00027B55"/>
    <w:rsid w:val="00027D0A"/>
    <w:rsid w:val="00027E02"/>
    <w:rsid w:val="000303C2"/>
    <w:rsid w:val="0003074F"/>
    <w:rsid w:val="00030C02"/>
    <w:rsid w:val="00030F5B"/>
    <w:rsid w:val="00031061"/>
    <w:rsid w:val="0003128F"/>
    <w:rsid w:val="00031458"/>
    <w:rsid w:val="0003180D"/>
    <w:rsid w:val="00032289"/>
    <w:rsid w:val="000322B0"/>
    <w:rsid w:val="00032A4C"/>
    <w:rsid w:val="000332EA"/>
    <w:rsid w:val="00033359"/>
    <w:rsid w:val="00033505"/>
    <w:rsid w:val="00033B22"/>
    <w:rsid w:val="00033D39"/>
    <w:rsid w:val="0003435B"/>
    <w:rsid w:val="00034540"/>
    <w:rsid w:val="00034779"/>
    <w:rsid w:val="000352E3"/>
    <w:rsid w:val="0003537A"/>
    <w:rsid w:val="000354E6"/>
    <w:rsid w:val="00036055"/>
    <w:rsid w:val="00036250"/>
    <w:rsid w:val="00037260"/>
    <w:rsid w:val="0003750E"/>
    <w:rsid w:val="00037AF2"/>
    <w:rsid w:val="000402A0"/>
    <w:rsid w:val="000402FC"/>
    <w:rsid w:val="00041506"/>
    <w:rsid w:val="00041CAB"/>
    <w:rsid w:val="00041CBB"/>
    <w:rsid w:val="00041E63"/>
    <w:rsid w:val="00041F46"/>
    <w:rsid w:val="00042A43"/>
    <w:rsid w:val="00042CEC"/>
    <w:rsid w:val="000432D7"/>
    <w:rsid w:val="00043334"/>
    <w:rsid w:val="0004359F"/>
    <w:rsid w:val="0004370C"/>
    <w:rsid w:val="000443DB"/>
    <w:rsid w:val="00044C0B"/>
    <w:rsid w:val="00044FF3"/>
    <w:rsid w:val="00045271"/>
    <w:rsid w:val="0004545B"/>
    <w:rsid w:val="000454E2"/>
    <w:rsid w:val="000458E6"/>
    <w:rsid w:val="00045E51"/>
    <w:rsid w:val="00045F11"/>
    <w:rsid w:val="00046EFA"/>
    <w:rsid w:val="000476D8"/>
    <w:rsid w:val="00050153"/>
    <w:rsid w:val="00050399"/>
    <w:rsid w:val="000504C2"/>
    <w:rsid w:val="000505BE"/>
    <w:rsid w:val="00050932"/>
    <w:rsid w:val="000518D2"/>
    <w:rsid w:val="00051A81"/>
    <w:rsid w:val="00051CF3"/>
    <w:rsid w:val="00051FF0"/>
    <w:rsid w:val="0005252F"/>
    <w:rsid w:val="00052E16"/>
    <w:rsid w:val="00052E69"/>
    <w:rsid w:val="00053425"/>
    <w:rsid w:val="0005362F"/>
    <w:rsid w:val="000536E7"/>
    <w:rsid w:val="00053A19"/>
    <w:rsid w:val="00053C96"/>
    <w:rsid w:val="00054550"/>
    <w:rsid w:val="0005463C"/>
    <w:rsid w:val="00054700"/>
    <w:rsid w:val="000549F0"/>
    <w:rsid w:val="000554D2"/>
    <w:rsid w:val="00055624"/>
    <w:rsid w:val="0005594E"/>
    <w:rsid w:val="000559F1"/>
    <w:rsid w:val="00055DB2"/>
    <w:rsid w:val="0005716B"/>
    <w:rsid w:val="0005757D"/>
    <w:rsid w:val="00057AC7"/>
    <w:rsid w:val="000600F5"/>
    <w:rsid w:val="00060A3F"/>
    <w:rsid w:val="00060BF4"/>
    <w:rsid w:val="00060F20"/>
    <w:rsid w:val="00060FDD"/>
    <w:rsid w:val="00061065"/>
    <w:rsid w:val="000618CF"/>
    <w:rsid w:val="000624B4"/>
    <w:rsid w:val="000627C2"/>
    <w:rsid w:val="00062D55"/>
    <w:rsid w:val="00062DBD"/>
    <w:rsid w:val="00062F51"/>
    <w:rsid w:val="00063D7B"/>
    <w:rsid w:val="0006414C"/>
    <w:rsid w:val="000644E3"/>
    <w:rsid w:val="000651F3"/>
    <w:rsid w:val="0006524F"/>
    <w:rsid w:val="00065483"/>
    <w:rsid w:val="00065AC9"/>
    <w:rsid w:val="00065ADE"/>
    <w:rsid w:val="00065B15"/>
    <w:rsid w:val="00065D29"/>
    <w:rsid w:val="00065D58"/>
    <w:rsid w:val="000661FA"/>
    <w:rsid w:val="000664D9"/>
    <w:rsid w:val="00066556"/>
    <w:rsid w:val="00066647"/>
    <w:rsid w:val="00066A38"/>
    <w:rsid w:val="000670FB"/>
    <w:rsid w:val="000673C8"/>
    <w:rsid w:val="00067752"/>
    <w:rsid w:val="00067F36"/>
    <w:rsid w:val="000703F0"/>
    <w:rsid w:val="0007066B"/>
    <w:rsid w:val="00070889"/>
    <w:rsid w:val="00071CCB"/>
    <w:rsid w:val="00071F92"/>
    <w:rsid w:val="0007309B"/>
    <w:rsid w:val="00073715"/>
    <w:rsid w:val="000738FD"/>
    <w:rsid w:val="00073A92"/>
    <w:rsid w:val="00074888"/>
    <w:rsid w:val="00074A32"/>
    <w:rsid w:val="00074B8B"/>
    <w:rsid w:val="0007636A"/>
    <w:rsid w:val="000768A6"/>
    <w:rsid w:val="0007696E"/>
    <w:rsid w:val="0007723B"/>
    <w:rsid w:val="00077BF8"/>
    <w:rsid w:val="00077CAD"/>
    <w:rsid w:val="000800AF"/>
    <w:rsid w:val="0008046A"/>
    <w:rsid w:val="00080A41"/>
    <w:rsid w:val="00080BB6"/>
    <w:rsid w:val="0008126C"/>
    <w:rsid w:val="000816E9"/>
    <w:rsid w:val="00082030"/>
    <w:rsid w:val="00082E47"/>
    <w:rsid w:val="00082E4E"/>
    <w:rsid w:val="000848BD"/>
    <w:rsid w:val="00084F2B"/>
    <w:rsid w:val="0008525F"/>
    <w:rsid w:val="00085CA5"/>
    <w:rsid w:val="00086248"/>
    <w:rsid w:val="00086793"/>
    <w:rsid w:val="000867CC"/>
    <w:rsid w:val="000871F4"/>
    <w:rsid w:val="000902F8"/>
    <w:rsid w:val="000903CA"/>
    <w:rsid w:val="00090C79"/>
    <w:rsid w:val="00090D90"/>
    <w:rsid w:val="00090E09"/>
    <w:rsid w:val="00091853"/>
    <w:rsid w:val="00091ABB"/>
    <w:rsid w:val="00092B46"/>
    <w:rsid w:val="00092C57"/>
    <w:rsid w:val="00092CCA"/>
    <w:rsid w:val="0009334E"/>
    <w:rsid w:val="000934B3"/>
    <w:rsid w:val="00094955"/>
    <w:rsid w:val="0009551E"/>
    <w:rsid w:val="000955A4"/>
    <w:rsid w:val="00096998"/>
    <w:rsid w:val="00096B1B"/>
    <w:rsid w:val="00096FC1"/>
    <w:rsid w:val="00097059"/>
    <w:rsid w:val="00097434"/>
    <w:rsid w:val="0009766A"/>
    <w:rsid w:val="000A030E"/>
    <w:rsid w:val="000A06DC"/>
    <w:rsid w:val="000A1279"/>
    <w:rsid w:val="000A145E"/>
    <w:rsid w:val="000A1C7B"/>
    <w:rsid w:val="000A1C7D"/>
    <w:rsid w:val="000A1E32"/>
    <w:rsid w:val="000A2BF8"/>
    <w:rsid w:val="000A3632"/>
    <w:rsid w:val="000A383F"/>
    <w:rsid w:val="000A436D"/>
    <w:rsid w:val="000A53B8"/>
    <w:rsid w:val="000A56C6"/>
    <w:rsid w:val="000A61C7"/>
    <w:rsid w:val="000A62EA"/>
    <w:rsid w:val="000A6303"/>
    <w:rsid w:val="000A777F"/>
    <w:rsid w:val="000B00E0"/>
    <w:rsid w:val="000B0383"/>
    <w:rsid w:val="000B11FA"/>
    <w:rsid w:val="000B1A32"/>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B43"/>
    <w:rsid w:val="000C0010"/>
    <w:rsid w:val="000C04EB"/>
    <w:rsid w:val="000C050C"/>
    <w:rsid w:val="000C08A3"/>
    <w:rsid w:val="000C0D53"/>
    <w:rsid w:val="000C0E9F"/>
    <w:rsid w:val="000C10C4"/>
    <w:rsid w:val="000C11B9"/>
    <w:rsid w:val="000C1238"/>
    <w:rsid w:val="000C1C26"/>
    <w:rsid w:val="000C207A"/>
    <w:rsid w:val="000C25BD"/>
    <w:rsid w:val="000C2810"/>
    <w:rsid w:val="000C2A7B"/>
    <w:rsid w:val="000C2C74"/>
    <w:rsid w:val="000C308D"/>
    <w:rsid w:val="000C33BB"/>
    <w:rsid w:val="000C395E"/>
    <w:rsid w:val="000C4240"/>
    <w:rsid w:val="000C45FE"/>
    <w:rsid w:val="000C4ECD"/>
    <w:rsid w:val="000C5630"/>
    <w:rsid w:val="000C577F"/>
    <w:rsid w:val="000C5E7D"/>
    <w:rsid w:val="000C64C0"/>
    <w:rsid w:val="000C6C88"/>
    <w:rsid w:val="000C7443"/>
    <w:rsid w:val="000C7B4C"/>
    <w:rsid w:val="000D05EC"/>
    <w:rsid w:val="000D0C3A"/>
    <w:rsid w:val="000D152D"/>
    <w:rsid w:val="000D1AB9"/>
    <w:rsid w:val="000D1B0E"/>
    <w:rsid w:val="000D1BD9"/>
    <w:rsid w:val="000D2665"/>
    <w:rsid w:val="000D2C0B"/>
    <w:rsid w:val="000D33FF"/>
    <w:rsid w:val="000D3518"/>
    <w:rsid w:val="000D390D"/>
    <w:rsid w:val="000D3C7C"/>
    <w:rsid w:val="000D3E39"/>
    <w:rsid w:val="000D463D"/>
    <w:rsid w:val="000D4871"/>
    <w:rsid w:val="000D4C91"/>
    <w:rsid w:val="000D4ECB"/>
    <w:rsid w:val="000D55C0"/>
    <w:rsid w:val="000D58E6"/>
    <w:rsid w:val="000D5EAA"/>
    <w:rsid w:val="000D613F"/>
    <w:rsid w:val="000D6564"/>
    <w:rsid w:val="000D744C"/>
    <w:rsid w:val="000D7762"/>
    <w:rsid w:val="000E0044"/>
    <w:rsid w:val="000E0451"/>
    <w:rsid w:val="000E0908"/>
    <w:rsid w:val="000E0A02"/>
    <w:rsid w:val="000E0C5D"/>
    <w:rsid w:val="000E173B"/>
    <w:rsid w:val="000E1C10"/>
    <w:rsid w:val="000E20F2"/>
    <w:rsid w:val="000E2524"/>
    <w:rsid w:val="000E2788"/>
    <w:rsid w:val="000E29C8"/>
    <w:rsid w:val="000E2F5A"/>
    <w:rsid w:val="000E30C6"/>
    <w:rsid w:val="000E317B"/>
    <w:rsid w:val="000E31C9"/>
    <w:rsid w:val="000E3537"/>
    <w:rsid w:val="000E3D52"/>
    <w:rsid w:val="000E3D57"/>
    <w:rsid w:val="000E3FC6"/>
    <w:rsid w:val="000E469B"/>
    <w:rsid w:val="000E4B60"/>
    <w:rsid w:val="000E4BEE"/>
    <w:rsid w:val="000E4D07"/>
    <w:rsid w:val="000E4DB5"/>
    <w:rsid w:val="000E4F08"/>
    <w:rsid w:val="000E53DA"/>
    <w:rsid w:val="000E583A"/>
    <w:rsid w:val="000E5CD1"/>
    <w:rsid w:val="000E6036"/>
    <w:rsid w:val="000E636A"/>
    <w:rsid w:val="000E6DFB"/>
    <w:rsid w:val="000E7188"/>
    <w:rsid w:val="000E7ADF"/>
    <w:rsid w:val="000F104F"/>
    <w:rsid w:val="000F14A4"/>
    <w:rsid w:val="000F1A83"/>
    <w:rsid w:val="000F1AE8"/>
    <w:rsid w:val="000F1D39"/>
    <w:rsid w:val="000F1E06"/>
    <w:rsid w:val="000F1F38"/>
    <w:rsid w:val="000F2106"/>
    <w:rsid w:val="000F25D2"/>
    <w:rsid w:val="000F43B9"/>
    <w:rsid w:val="000F4551"/>
    <w:rsid w:val="000F4E7F"/>
    <w:rsid w:val="000F5901"/>
    <w:rsid w:val="000F5D0F"/>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AFD"/>
    <w:rsid w:val="00101B58"/>
    <w:rsid w:val="00101C8E"/>
    <w:rsid w:val="00102192"/>
    <w:rsid w:val="0010229B"/>
    <w:rsid w:val="00102718"/>
    <w:rsid w:val="00102C38"/>
    <w:rsid w:val="0010402E"/>
    <w:rsid w:val="00104247"/>
    <w:rsid w:val="001046A2"/>
    <w:rsid w:val="00104768"/>
    <w:rsid w:val="00104C0D"/>
    <w:rsid w:val="00104D0E"/>
    <w:rsid w:val="00105A7D"/>
    <w:rsid w:val="00107197"/>
    <w:rsid w:val="00107BF2"/>
    <w:rsid w:val="00110916"/>
    <w:rsid w:val="0011099C"/>
    <w:rsid w:val="00110C23"/>
    <w:rsid w:val="0011172D"/>
    <w:rsid w:val="00111964"/>
    <w:rsid w:val="00112302"/>
    <w:rsid w:val="0011277E"/>
    <w:rsid w:val="00112C2B"/>
    <w:rsid w:val="00112C89"/>
    <w:rsid w:val="00113731"/>
    <w:rsid w:val="0011377E"/>
    <w:rsid w:val="0011409D"/>
    <w:rsid w:val="00114D59"/>
    <w:rsid w:val="001154E0"/>
    <w:rsid w:val="00116B77"/>
    <w:rsid w:val="00117A4E"/>
    <w:rsid w:val="0012093B"/>
    <w:rsid w:val="00120BE8"/>
    <w:rsid w:val="00121167"/>
    <w:rsid w:val="001218EA"/>
    <w:rsid w:val="00122904"/>
    <w:rsid w:val="00122EC0"/>
    <w:rsid w:val="00123244"/>
    <w:rsid w:val="00123496"/>
    <w:rsid w:val="0012379D"/>
    <w:rsid w:val="00125526"/>
    <w:rsid w:val="00125DD5"/>
    <w:rsid w:val="001266BA"/>
    <w:rsid w:val="00126987"/>
    <w:rsid w:val="00126B05"/>
    <w:rsid w:val="00126C3E"/>
    <w:rsid w:val="00127079"/>
    <w:rsid w:val="001279FE"/>
    <w:rsid w:val="00130E18"/>
    <w:rsid w:val="001315A9"/>
    <w:rsid w:val="00131A50"/>
    <w:rsid w:val="001321B3"/>
    <w:rsid w:val="00132346"/>
    <w:rsid w:val="001323DF"/>
    <w:rsid w:val="00132581"/>
    <w:rsid w:val="00132A1F"/>
    <w:rsid w:val="001330A4"/>
    <w:rsid w:val="001330ED"/>
    <w:rsid w:val="00133157"/>
    <w:rsid w:val="00133A6E"/>
    <w:rsid w:val="00133CA3"/>
    <w:rsid w:val="00134454"/>
    <w:rsid w:val="001348A1"/>
    <w:rsid w:val="001352CD"/>
    <w:rsid w:val="00135314"/>
    <w:rsid w:val="001357D0"/>
    <w:rsid w:val="00136047"/>
    <w:rsid w:val="001361A8"/>
    <w:rsid w:val="0013654C"/>
    <w:rsid w:val="0013671C"/>
    <w:rsid w:val="00136CAB"/>
    <w:rsid w:val="00136FA8"/>
    <w:rsid w:val="00137314"/>
    <w:rsid w:val="0013766C"/>
    <w:rsid w:val="001377C2"/>
    <w:rsid w:val="00137C6E"/>
    <w:rsid w:val="001404E2"/>
    <w:rsid w:val="001405C3"/>
    <w:rsid w:val="00140803"/>
    <w:rsid w:val="00140E7D"/>
    <w:rsid w:val="00140FDF"/>
    <w:rsid w:val="00141114"/>
    <w:rsid w:val="001413F3"/>
    <w:rsid w:val="001417C1"/>
    <w:rsid w:val="00141A8C"/>
    <w:rsid w:val="001421E2"/>
    <w:rsid w:val="00142807"/>
    <w:rsid w:val="00142923"/>
    <w:rsid w:val="00142C07"/>
    <w:rsid w:val="00142F21"/>
    <w:rsid w:val="0014320C"/>
    <w:rsid w:val="00143300"/>
    <w:rsid w:val="0014343D"/>
    <w:rsid w:val="001436C3"/>
    <w:rsid w:val="0014425D"/>
    <w:rsid w:val="001453DF"/>
    <w:rsid w:val="00145903"/>
    <w:rsid w:val="00145E21"/>
    <w:rsid w:val="001466FE"/>
    <w:rsid w:val="00146F05"/>
    <w:rsid w:val="00146F84"/>
    <w:rsid w:val="00147219"/>
    <w:rsid w:val="00147542"/>
    <w:rsid w:val="00147F8F"/>
    <w:rsid w:val="00147FD3"/>
    <w:rsid w:val="0015013B"/>
    <w:rsid w:val="001508A9"/>
    <w:rsid w:val="00150BA3"/>
    <w:rsid w:val="00150D33"/>
    <w:rsid w:val="00150ED9"/>
    <w:rsid w:val="001510E2"/>
    <w:rsid w:val="001511C9"/>
    <w:rsid w:val="00151632"/>
    <w:rsid w:val="001522BF"/>
    <w:rsid w:val="00152345"/>
    <w:rsid w:val="00152731"/>
    <w:rsid w:val="001538F2"/>
    <w:rsid w:val="00153CF0"/>
    <w:rsid w:val="0015403C"/>
    <w:rsid w:val="0015441C"/>
    <w:rsid w:val="00154AB2"/>
    <w:rsid w:val="00154CBB"/>
    <w:rsid w:val="00154D2A"/>
    <w:rsid w:val="00154F10"/>
    <w:rsid w:val="0015538D"/>
    <w:rsid w:val="00156172"/>
    <w:rsid w:val="0015646F"/>
    <w:rsid w:val="001564A2"/>
    <w:rsid w:val="001569F6"/>
    <w:rsid w:val="00156EA4"/>
    <w:rsid w:val="00156EC1"/>
    <w:rsid w:val="001577E2"/>
    <w:rsid w:val="0015796A"/>
    <w:rsid w:val="0016078A"/>
    <w:rsid w:val="00160F87"/>
    <w:rsid w:val="00161D71"/>
    <w:rsid w:val="00162793"/>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71C"/>
    <w:rsid w:val="00165BDB"/>
    <w:rsid w:val="00166659"/>
    <w:rsid w:val="00167F7D"/>
    <w:rsid w:val="00167FDF"/>
    <w:rsid w:val="00170C25"/>
    <w:rsid w:val="00170D4E"/>
    <w:rsid w:val="00171303"/>
    <w:rsid w:val="0017169D"/>
    <w:rsid w:val="00171EE9"/>
    <w:rsid w:val="00172053"/>
    <w:rsid w:val="001725D6"/>
    <w:rsid w:val="001732CF"/>
    <w:rsid w:val="00173748"/>
    <w:rsid w:val="00173A32"/>
    <w:rsid w:val="00173AF4"/>
    <w:rsid w:val="001740D8"/>
    <w:rsid w:val="00174711"/>
    <w:rsid w:val="00174885"/>
    <w:rsid w:val="00175977"/>
    <w:rsid w:val="00175D67"/>
    <w:rsid w:val="00175F47"/>
    <w:rsid w:val="0017626A"/>
    <w:rsid w:val="00176815"/>
    <w:rsid w:val="00176CC8"/>
    <w:rsid w:val="00176D05"/>
    <w:rsid w:val="00177475"/>
    <w:rsid w:val="0017785F"/>
    <w:rsid w:val="001801D5"/>
    <w:rsid w:val="0018071A"/>
    <w:rsid w:val="00180C8E"/>
    <w:rsid w:val="001813B0"/>
    <w:rsid w:val="00181632"/>
    <w:rsid w:val="00181961"/>
    <w:rsid w:val="00181BA1"/>
    <w:rsid w:val="001829F9"/>
    <w:rsid w:val="00183A86"/>
    <w:rsid w:val="00183CD7"/>
    <w:rsid w:val="0018448C"/>
    <w:rsid w:val="00184663"/>
    <w:rsid w:val="0018482D"/>
    <w:rsid w:val="0018515B"/>
    <w:rsid w:val="0018522E"/>
    <w:rsid w:val="001857FB"/>
    <w:rsid w:val="00185A4E"/>
    <w:rsid w:val="0018607D"/>
    <w:rsid w:val="00186631"/>
    <w:rsid w:val="00186A4B"/>
    <w:rsid w:val="00186B41"/>
    <w:rsid w:val="00187946"/>
    <w:rsid w:val="001879E9"/>
    <w:rsid w:val="00187B3C"/>
    <w:rsid w:val="001900EF"/>
    <w:rsid w:val="001901E9"/>
    <w:rsid w:val="0019053A"/>
    <w:rsid w:val="00191956"/>
    <w:rsid w:val="00191B0E"/>
    <w:rsid w:val="001923B8"/>
    <w:rsid w:val="001923FD"/>
    <w:rsid w:val="0019290C"/>
    <w:rsid w:val="00192C67"/>
    <w:rsid w:val="00192CDE"/>
    <w:rsid w:val="001933D2"/>
    <w:rsid w:val="00194BE0"/>
    <w:rsid w:val="00195BB8"/>
    <w:rsid w:val="00195C98"/>
    <w:rsid w:val="001960E4"/>
    <w:rsid w:val="00196639"/>
    <w:rsid w:val="0019676C"/>
    <w:rsid w:val="00196A2A"/>
    <w:rsid w:val="00196AC2"/>
    <w:rsid w:val="00196FD3"/>
    <w:rsid w:val="00197C98"/>
    <w:rsid w:val="001A03D3"/>
    <w:rsid w:val="001A047C"/>
    <w:rsid w:val="001A04D5"/>
    <w:rsid w:val="001A0BB8"/>
    <w:rsid w:val="001A1225"/>
    <w:rsid w:val="001A12EA"/>
    <w:rsid w:val="001A141D"/>
    <w:rsid w:val="001A17CB"/>
    <w:rsid w:val="001A1915"/>
    <w:rsid w:val="001A1CB4"/>
    <w:rsid w:val="001A214A"/>
    <w:rsid w:val="001A235C"/>
    <w:rsid w:val="001A23D2"/>
    <w:rsid w:val="001A31FB"/>
    <w:rsid w:val="001A35A0"/>
    <w:rsid w:val="001A3B9F"/>
    <w:rsid w:val="001A4264"/>
    <w:rsid w:val="001A4934"/>
    <w:rsid w:val="001A4D64"/>
    <w:rsid w:val="001A4F78"/>
    <w:rsid w:val="001A5541"/>
    <w:rsid w:val="001A57A5"/>
    <w:rsid w:val="001A5802"/>
    <w:rsid w:val="001A5BA3"/>
    <w:rsid w:val="001A69B1"/>
    <w:rsid w:val="001A73AF"/>
    <w:rsid w:val="001A76E7"/>
    <w:rsid w:val="001A782B"/>
    <w:rsid w:val="001A78DB"/>
    <w:rsid w:val="001B011F"/>
    <w:rsid w:val="001B019B"/>
    <w:rsid w:val="001B020B"/>
    <w:rsid w:val="001B088B"/>
    <w:rsid w:val="001B0B5F"/>
    <w:rsid w:val="001B0E86"/>
    <w:rsid w:val="001B0FFD"/>
    <w:rsid w:val="001B150D"/>
    <w:rsid w:val="001B156C"/>
    <w:rsid w:val="001B1972"/>
    <w:rsid w:val="001B2CE3"/>
    <w:rsid w:val="001B32C8"/>
    <w:rsid w:val="001B345C"/>
    <w:rsid w:val="001B3CDD"/>
    <w:rsid w:val="001B3D92"/>
    <w:rsid w:val="001B3DE0"/>
    <w:rsid w:val="001B4179"/>
    <w:rsid w:val="001B4573"/>
    <w:rsid w:val="001B4C15"/>
    <w:rsid w:val="001B5261"/>
    <w:rsid w:val="001B5313"/>
    <w:rsid w:val="001B5889"/>
    <w:rsid w:val="001B5ADA"/>
    <w:rsid w:val="001B5DB5"/>
    <w:rsid w:val="001B6EB3"/>
    <w:rsid w:val="001B6F5C"/>
    <w:rsid w:val="001B7391"/>
    <w:rsid w:val="001B73F0"/>
    <w:rsid w:val="001B75C9"/>
    <w:rsid w:val="001B778F"/>
    <w:rsid w:val="001B79B2"/>
    <w:rsid w:val="001C0316"/>
    <w:rsid w:val="001C0668"/>
    <w:rsid w:val="001C0776"/>
    <w:rsid w:val="001C127E"/>
    <w:rsid w:val="001C14CC"/>
    <w:rsid w:val="001C172B"/>
    <w:rsid w:val="001C22A8"/>
    <w:rsid w:val="001C308C"/>
    <w:rsid w:val="001C3942"/>
    <w:rsid w:val="001C3A1C"/>
    <w:rsid w:val="001C3E43"/>
    <w:rsid w:val="001C41C5"/>
    <w:rsid w:val="001C4275"/>
    <w:rsid w:val="001C469A"/>
    <w:rsid w:val="001C47C4"/>
    <w:rsid w:val="001C4F71"/>
    <w:rsid w:val="001C5483"/>
    <w:rsid w:val="001C5739"/>
    <w:rsid w:val="001C6674"/>
    <w:rsid w:val="001C6B2B"/>
    <w:rsid w:val="001C6BB2"/>
    <w:rsid w:val="001C6C9C"/>
    <w:rsid w:val="001C6EE0"/>
    <w:rsid w:val="001C7A00"/>
    <w:rsid w:val="001C7B17"/>
    <w:rsid w:val="001C7E03"/>
    <w:rsid w:val="001D00E8"/>
    <w:rsid w:val="001D041A"/>
    <w:rsid w:val="001D0969"/>
    <w:rsid w:val="001D0AE5"/>
    <w:rsid w:val="001D0D3A"/>
    <w:rsid w:val="001D0D60"/>
    <w:rsid w:val="001D1182"/>
    <w:rsid w:val="001D1238"/>
    <w:rsid w:val="001D171D"/>
    <w:rsid w:val="001D1DF0"/>
    <w:rsid w:val="001D1EE9"/>
    <w:rsid w:val="001D2169"/>
    <w:rsid w:val="001D29E3"/>
    <w:rsid w:val="001D2D89"/>
    <w:rsid w:val="001D378B"/>
    <w:rsid w:val="001D3ED5"/>
    <w:rsid w:val="001D55C7"/>
    <w:rsid w:val="001D5ECA"/>
    <w:rsid w:val="001D691F"/>
    <w:rsid w:val="001D6FDE"/>
    <w:rsid w:val="001D71E9"/>
    <w:rsid w:val="001D747E"/>
    <w:rsid w:val="001D7B87"/>
    <w:rsid w:val="001D7BF0"/>
    <w:rsid w:val="001E072A"/>
    <w:rsid w:val="001E1705"/>
    <w:rsid w:val="001E1A77"/>
    <w:rsid w:val="001E25AB"/>
    <w:rsid w:val="001E2890"/>
    <w:rsid w:val="001E308B"/>
    <w:rsid w:val="001E35C2"/>
    <w:rsid w:val="001E38F2"/>
    <w:rsid w:val="001E3D04"/>
    <w:rsid w:val="001E5142"/>
    <w:rsid w:val="001E53EB"/>
    <w:rsid w:val="001E58DF"/>
    <w:rsid w:val="001E5A85"/>
    <w:rsid w:val="001E5EE4"/>
    <w:rsid w:val="001E659B"/>
    <w:rsid w:val="001E68AA"/>
    <w:rsid w:val="001E6C50"/>
    <w:rsid w:val="001E6DE0"/>
    <w:rsid w:val="001E71CB"/>
    <w:rsid w:val="001E7272"/>
    <w:rsid w:val="001E7275"/>
    <w:rsid w:val="001E7430"/>
    <w:rsid w:val="001F0092"/>
    <w:rsid w:val="001F099E"/>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441"/>
    <w:rsid w:val="001F47D1"/>
    <w:rsid w:val="001F4FE3"/>
    <w:rsid w:val="001F5536"/>
    <w:rsid w:val="001F5A2B"/>
    <w:rsid w:val="001F5EB4"/>
    <w:rsid w:val="001F61CE"/>
    <w:rsid w:val="001F647E"/>
    <w:rsid w:val="001F651D"/>
    <w:rsid w:val="001F65A2"/>
    <w:rsid w:val="001F7499"/>
    <w:rsid w:val="001F7C71"/>
    <w:rsid w:val="001F7ED6"/>
    <w:rsid w:val="002008F3"/>
    <w:rsid w:val="00200E3F"/>
    <w:rsid w:val="0020129B"/>
    <w:rsid w:val="0020130A"/>
    <w:rsid w:val="002016F0"/>
    <w:rsid w:val="00201915"/>
    <w:rsid w:val="00202307"/>
    <w:rsid w:val="002023B1"/>
    <w:rsid w:val="00202570"/>
    <w:rsid w:val="00202D92"/>
    <w:rsid w:val="00203068"/>
    <w:rsid w:val="0020349A"/>
    <w:rsid w:val="0020406D"/>
    <w:rsid w:val="0020425D"/>
    <w:rsid w:val="002043E9"/>
    <w:rsid w:val="00204AD0"/>
    <w:rsid w:val="00204B02"/>
    <w:rsid w:val="00204C5F"/>
    <w:rsid w:val="00204D61"/>
    <w:rsid w:val="00204EE8"/>
    <w:rsid w:val="002058C4"/>
    <w:rsid w:val="00205A12"/>
    <w:rsid w:val="00205C4F"/>
    <w:rsid w:val="00205E90"/>
    <w:rsid w:val="00205EB0"/>
    <w:rsid w:val="00205F92"/>
    <w:rsid w:val="002066D4"/>
    <w:rsid w:val="00207908"/>
    <w:rsid w:val="00207C88"/>
    <w:rsid w:val="00210674"/>
    <w:rsid w:val="002107FA"/>
    <w:rsid w:val="00210DE9"/>
    <w:rsid w:val="00211D9F"/>
    <w:rsid w:val="002123C7"/>
    <w:rsid w:val="002124EB"/>
    <w:rsid w:val="00212545"/>
    <w:rsid w:val="00212783"/>
    <w:rsid w:val="002129CC"/>
    <w:rsid w:val="00212ABB"/>
    <w:rsid w:val="0021300C"/>
    <w:rsid w:val="0021374B"/>
    <w:rsid w:val="00213862"/>
    <w:rsid w:val="00213B96"/>
    <w:rsid w:val="0021456B"/>
    <w:rsid w:val="00214697"/>
    <w:rsid w:val="002146EC"/>
    <w:rsid w:val="00214C60"/>
    <w:rsid w:val="00215259"/>
    <w:rsid w:val="0021538B"/>
    <w:rsid w:val="00215554"/>
    <w:rsid w:val="0021564B"/>
    <w:rsid w:val="002156BF"/>
    <w:rsid w:val="00215832"/>
    <w:rsid w:val="002159F8"/>
    <w:rsid w:val="00215A32"/>
    <w:rsid w:val="002162FD"/>
    <w:rsid w:val="00216D40"/>
    <w:rsid w:val="002176AD"/>
    <w:rsid w:val="00217F6D"/>
    <w:rsid w:val="002201BE"/>
    <w:rsid w:val="0022028A"/>
    <w:rsid w:val="00220667"/>
    <w:rsid w:val="002206EF"/>
    <w:rsid w:val="0022090B"/>
    <w:rsid w:val="00220F1A"/>
    <w:rsid w:val="002215D5"/>
    <w:rsid w:val="00221997"/>
    <w:rsid w:val="00221A81"/>
    <w:rsid w:val="00221B5C"/>
    <w:rsid w:val="00221B7B"/>
    <w:rsid w:val="002221B8"/>
    <w:rsid w:val="0022238A"/>
    <w:rsid w:val="002224E9"/>
    <w:rsid w:val="002238D1"/>
    <w:rsid w:val="00223F67"/>
    <w:rsid w:val="002247A3"/>
    <w:rsid w:val="00225AF6"/>
    <w:rsid w:val="00225BD5"/>
    <w:rsid w:val="00226A9A"/>
    <w:rsid w:val="00226C2A"/>
    <w:rsid w:val="00226E3F"/>
    <w:rsid w:val="00226E63"/>
    <w:rsid w:val="002278BF"/>
    <w:rsid w:val="002279DB"/>
    <w:rsid w:val="00227E7E"/>
    <w:rsid w:val="00227EE4"/>
    <w:rsid w:val="002303AF"/>
    <w:rsid w:val="00230811"/>
    <w:rsid w:val="00230B5E"/>
    <w:rsid w:val="00231FE0"/>
    <w:rsid w:val="0023213B"/>
    <w:rsid w:val="00232CC6"/>
    <w:rsid w:val="00232EC6"/>
    <w:rsid w:val="002331E4"/>
    <w:rsid w:val="00233638"/>
    <w:rsid w:val="0023420A"/>
    <w:rsid w:val="00234EDC"/>
    <w:rsid w:val="0023590E"/>
    <w:rsid w:val="00235E20"/>
    <w:rsid w:val="00236533"/>
    <w:rsid w:val="00236D94"/>
    <w:rsid w:val="002373FD"/>
    <w:rsid w:val="00240AEF"/>
    <w:rsid w:val="00240B53"/>
    <w:rsid w:val="00240C3D"/>
    <w:rsid w:val="002414DB"/>
    <w:rsid w:val="00241BBD"/>
    <w:rsid w:val="00242322"/>
    <w:rsid w:val="002424E5"/>
    <w:rsid w:val="0024289A"/>
    <w:rsid w:val="002429EF"/>
    <w:rsid w:val="00242EBC"/>
    <w:rsid w:val="00243C86"/>
    <w:rsid w:val="00243F04"/>
    <w:rsid w:val="002444AE"/>
    <w:rsid w:val="00245210"/>
    <w:rsid w:val="002463D0"/>
    <w:rsid w:val="002464ED"/>
    <w:rsid w:val="00246617"/>
    <w:rsid w:val="00246869"/>
    <w:rsid w:val="00246944"/>
    <w:rsid w:val="00246AB3"/>
    <w:rsid w:val="00247A5F"/>
    <w:rsid w:val="00247DF0"/>
    <w:rsid w:val="00250170"/>
    <w:rsid w:val="00250D7A"/>
    <w:rsid w:val="0025210B"/>
    <w:rsid w:val="002525BC"/>
    <w:rsid w:val="002529ED"/>
    <w:rsid w:val="00252B41"/>
    <w:rsid w:val="00252E84"/>
    <w:rsid w:val="002531E4"/>
    <w:rsid w:val="00253391"/>
    <w:rsid w:val="002537F5"/>
    <w:rsid w:val="0025380B"/>
    <w:rsid w:val="00254828"/>
    <w:rsid w:val="0025491D"/>
    <w:rsid w:val="00254B13"/>
    <w:rsid w:val="00256313"/>
    <w:rsid w:val="0025684A"/>
    <w:rsid w:val="00256B05"/>
    <w:rsid w:val="00257055"/>
    <w:rsid w:val="002575FB"/>
    <w:rsid w:val="00257EF7"/>
    <w:rsid w:val="00257F6E"/>
    <w:rsid w:val="00260094"/>
    <w:rsid w:val="002614C2"/>
    <w:rsid w:val="002616F4"/>
    <w:rsid w:val="00261DCD"/>
    <w:rsid w:val="00261EE8"/>
    <w:rsid w:val="00262047"/>
    <w:rsid w:val="002621F0"/>
    <w:rsid w:val="0026269E"/>
    <w:rsid w:val="00262F79"/>
    <w:rsid w:val="00263147"/>
    <w:rsid w:val="0026315D"/>
    <w:rsid w:val="00263355"/>
    <w:rsid w:val="00264083"/>
    <w:rsid w:val="0026469B"/>
    <w:rsid w:val="00264C6B"/>
    <w:rsid w:val="00264CAF"/>
    <w:rsid w:val="00264F40"/>
    <w:rsid w:val="002650B2"/>
    <w:rsid w:val="002666AC"/>
    <w:rsid w:val="002667F2"/>
    <w:rsid w:val="00266C25"/>
    <w:rsid w:val="00266EDE"/>
    <w:rsid w:val="002673A0"/>
    <w:rsid w:val="002673B2"/>
    <w:rsid w:val="0026780C"/>
    <w:rsid w:val="00267A0F"/>
    <w:rsid w:val="00267B49"/>
    <w:rsid w:val="00267F4C"/>
    <w:rsid w:val="002700FC"/>
    <w:rsid w:val="00270564"/>
    <w:rsid w:val="00270641"/>
    <w:rsid w:val="002708C7"/>
    <w:rsid w:val="00270AE7"/>
    <w:rsid w:val="00270C18"/>
    <w:rsid w:val="002714A1"/>
    <w:rsid w:val="002715C0"/>
    <w:rsid w:val="00271D1E"/>
    <w:rsid w:val="00271ED4"/>
    <w:rsid w:val="002724A1"/>
    <w:rsid w:val="0027256C"/>
    <w:rsid w:val="00272BA5"/>
    <w:rsid w:val="00272F3A"/>
    <w:rsid w:val="00273148"/>
    <w:rsid w:val="00273507"/>
    <w:rsid w:val="00273C4B"/>
    <w:rsid w:val="00273E78"/>
    <w:rsid w:val="00274788"/>
    <w:rsid w:val="00274A10"/>
    <w:rsid w:val="00274B95"/>
    <w:rsid w:val="00274D70"/>
    <w:rsid w:val="00275241"/>
    <w:rsid w:val="00276045"/>
    <w:rsid w:val="00276392"/>
    <w:rsid w:val="00276D62"/>
    <w:rsid w:val="00276DFF"/>
    <w:rsid w:val="00277270"/>
    <w:rsid w:val="002801D5"/>
    <w:rsid w:val="00281283"/>
    <w:rsid w:val="00281355"/>
    <w:rsid w:val="00281756"/>
    <w:rsid w:val="0028264D"/>
    <w:rsid w:val="00282999"/>
    <w:rsid w:val="00282AF5"/>
    <w:rsid w:val="0028387F"/>
    <w:rsid w:val="002845C3"/>
    <w:rsid w:val="00284B9F"/>
    <w:rsid w:val="00285549"/>
    <w:rsid w:val="00285621"/>
    <w:rsid w:val="00285C7A"/>
    <w:rsid w:val="002860A4"/>
    <w:rsid w:val="002872DF"/>
    <w:rsid w:val="002876BF"/>
    <w:rsid w:val="00290010"/>
    <w:rsid w:val="002907FF"/>
    <w:rsid w:val="00290B6A"/>
    <w:rsid w:val="0029112B"/>
    <w:rsid w:val="00291352"/>
    <w:rsid w:val="00291434"/>
    <w:rsid w:val="00292016"/>
    <w:rsid w:val="002922DD"/>
    <w:rsid w:val="002926A8"/>
    <w:rsid w:val="002939E1"/>
    <w:rsid w:val="00293B7C"/>
    <w:rsid w:val="00293C1A"/>
    <w:rsid w:val="00293C3A"/>
    <w:rsid w:val="00293F3D"/>
    <w:rsid w:val="002949A6"/>
    <w:rsid w:val="00294DE8"/>
    <w:rsid w:val="00294FF0"/>
    <w:rsid w:val="002952AD"/>
    <w:rsid w:val="002953ED"/>
    <w:rsid w:val="00295920"/>
    <w:rsid w:val="00296126"/>
    <w:rsid w:val="002965EA"/>
    <w:rsid w:val="00296C13"/>
    <w:rsid w:val="00297100"/>
    <w:rsid w:val="0029739A"/>
    <w:rsid w:val="00297525"/>
    <w:rsid w:val="00297B04"/>
    <w:rsid w:val="00297F72"/>
    <w:rsid w:val="002A025C"/>
    <w:rsid w:val="002A19BE"/>
    <w:rsid w:val="002A1A1B"/>
    <w:rsid w:val="002A21F8"/>
    <w:rsid w:val="002A2751"/>
    <w:rsid w:val="002A2FAC"/>
    <w:rsid w:val="002A300C"/>
    <w:rsid w:val="002A479E"/>
    <w:rsid w:val="002A4887"/>
    <w:rsid w:val="002A4993"/>
    <w:rsid w:val="002A51ED"/>
    <w:rsid w:val="002A5D90"/>
    <w:rsid w:val="002A5E9E"/>
    <w:rsid w:val="002A6473"/>
    <w:rsid w:val="002A66EA"/>
    <w:rsid w:val="002A6CC1"/>
    <w:rsid w:val="002A7514"/>
    <w:rsid w:val="002A7E40"/>
    <w:rsid w:val="002B033B"/>
    <w:rsid w:val="002B0BF5"/>
    <w:rsid w:val="002B0F5A"/>
    <w:rsid w:val="002B1695"/>
    <w:rsid w:val="002B1CE5"/>
    <w:rsid w:val="002B23D5"/>
    <w:rsid w:val="002B2441"/>
    <w:rsid w:val="002B2DC6"/>
    <w:rsid w:val="002B31F7"/>
    <w:rsid w:val="002B33E9"/>
    <w:rsid w:val="002B355E"/>
    <w:rsid w:val="002B393C"/>
    <w:rsid w:val="002B433C"/>
    <w:rsid w:val="002B437A"/>
    <w:rsid w:val="002B490E"/>
    <w:rsid w:val="002B51D8"/>
    <w:rsid w:val="002B547E"/>
    <w:rsid w:val="002B59DB"/>
    <w:rsid w:val="002B5A01"/>
    <w:rsid w:val="002B5A58"/>
    <w:rsid w:val="002B7178"/>
    <w:rsid w:val="002B725C"/>
    <w:rsid w:val="002B7AB0"/>
    <w:rsid w:val="002B7BA9"/>
    <w:rsid w:val="002B7C26"/>
    <w:rsid w:val="002C0636"/>
    <w:rsid w:val="002C07CA"/>
    <w:rsid w:val="002C0941"/>
    <w:rsid w:val="002C0990"/>
    <w:rsid w:val="002C102E"/>
    <w:rsid w:val="002C10ED"/>
    <w:rsid w:val="002C1138"/>
    <w:rsid w:val="002C1C6B"/>
    <w:rsid w:val="002C26CB"/>
    <w:rsid w:val="002C278B"/>
    <w:rsid w:val="002C329C"/>
    <w:rsid w:val="002C3B54"/>
    <w:rsid w:val="002C4490"/>
    <w:rsid w:val="002C47EF"/>
    <w:rsid w:val="002C50D3"/>
    <w:rsid w:val="002C54A0"/>
    <w:rsid w:val="002C58BF"/>
    <w:rsid w:val="002C6077"/>
    <w:rsid w:val="002C6903"/>
    <w:rsid w:val="002C6B21"/>
    <w:rsid w:val="002C705C"/>
    <w:rsid w:val="002C72DE"/>
    <w:rsid w:val="002C7B61"/>
    <w:rsid w:val="002C7CBE"/>
    <w:rsid w:val="002C7FB4"/>
    <w:rsid w:val="002C7FE3"/>
    <w:rsid w:val="002D0530"/>
    <w:rsid w:val="002D0AA0"/>
    <w:rsid w:val="002D0AD3"/>
    <w:rsid w:val="002D0C01"/>
    <w:rsid w:val="002D0E57"/>
    <w:rsid w:val="002D2261"/>
    <w:rsid w:val="002D230A"/>
    <w:rsid w:val="002D25FB"/>
    <w:rsid w:val="002D2B08"/>
    <w:rsid w:val="002D357A"/>
    <w:rsid w:val="002D3B88"/>
    <w:rsid w:val="002D3E01"/>
    <w:rsid w:val="002D40D4"/>
    <w:rsid w:val="002D41EC"/>
    <w:rsid w:val="002D4B0B"/>
    <w:rsid w:val="002D4D39"/>
    <w:rsid w:val="002D513A"/>
    <w:rsid w:val="002D5200"/>
    <w:rsid w:val="002D5889"/>
    <w:rsid w:val="002D5957"/>
    <w:rsid w:val="002D5F32"/>
    <w:rsid w:val="002D6230"/>
    <w:rsid w:val="002D6327"/>
    <w:rsid w:val="002D6A05"/>
    <w:rsid w:val="002D6AD8"/>
    <w:rsid w:val="002D6E3A"/>
    <w:rsid w:val="002D7103"/>
    <w:rsid w:val="002D753D"/>
    <w:rsid w:val="002D7DED"/>
    <w:rsid w:val="002D7EB3"/>
    <w:rsid w:val="002D7F12"/>
    <w:rsid w:val="002E01FA"/>
    <w:rsid w:val="002E0C00"/>
    <w:rsid w:val="002E0D1B"/>
    <w:rsid w:val="002E13F9"/>
    <w:rsid w:val="002E2217"/>
    <w:rsid w:val="002E28EB"/>
    <w:rsid w:val="002E290F"/>
    <w:rsid w:val="002E29A7"/>
    <w:rsid w:val="002E3A3F"/>
    <w:rsid w:val="002E3A6C"/>
    <w:rsid w:val="002E4209"/>
    <w:rsid w:val="002E4343"/>
    <w:rsid w:val="002E4DA4"/>
    <w:rsid w:val="002E4FDA"/>
    <w:rsid w:val="002E547F"/>
    <w:rsid w:val="002E5CF5"/>
    <w:rsid w:val="002E62E1"/>
    <w:rsid w:val="002E7758"/>
    <w:rsid w:val="002E7BE9"/>
    <w:rsid w:val="002E7BF2"/>
    <w:rsid w:val="002E7EA2"/>
    <w:rsid w:val="002F049D"/>
    <w:rsid w:val="002F0978"/>
    <w:rsid w:val="002F0A42"/>
    <w:rsid w:val="002F0DE1"/>
    <w:rsid w:val="002F125B"/>
    <w:rsid w:val="002F17BA"/>
    <w:rsid w:val="002F185A"/>
    <w:rsid w:val="002F18F9"/>
    <w:rsid w:val="002F1D89"/>
    <w:rsid w:val="002F2C0F"/>
    <w:rsid w:val="002F2C11"/>
    <w:rsid w:val="002F37CB"/>
    <w:rsid w:val="002F3DB9"/>
    <w:rsid w:val="002F48D4"/>
    <w:rsid w:val="002F4965"/>
    <w:rsid w:val="002F4FB6"/>
    <w:rsid w:val="002F54C9"/>
    <w:rsid w:val="002F566B"/>
    <w:rsid w:val="002F583C"/>
    <w:rsid w:val="002F596A"/>
    <w:rsid w:val="002F71FD"/>
    <w:rsid w:val="002F7255"/>
    <w:rsid w:val="002F7782"/>
    <w:rsid w:val="002F7C26"/>
    <w:rsid w:val="002F7D3A"/>
    <w:rsid w:val="002F7D57"/>
    <w:rsid w:val="00300222"/>
    <w:rsid w:val="00300574"/>
    <w:rsid w:val="003008CC"/>
    <w:rsid w:val="00300AE4"/>
    <w:rsid w:val="0030181B"/>
    <w:rsid w:val="00301A6A"/>
    <w:rsid w:val="00301D6D"/>
    <w:rsid w:val="003024D4"/>
    <w:rsid w:val="00302B54"/>
    <w:rsid w:val="00302D12"/>
    <w:rsid w:val="00302E8F"/>
    <w:rsid w:val="00304139"/>
    <w:rsid w:val="003041A3"/>
    <w:rsid w:val="0030430D"/>
    <w:rsid w:val="003045A7"/>
    <w:rsid w:val="003045F4"/>
    <w:rsid w:val="00304EFD"/>
    <w:rsid w:val="0030574F"/>
    <w:rsid w:val="00306202"/>
    <w:rsid w:val="003067AB"/>
    <w:rsid w:val="00307052"/>
    <w:rsid w:val="0031084C"/>
    <w:rsid w:val="00310A2A"/>
    <w:rsid w:val="003112E2"/>
    <w:rsid w:val="0031235D"/>
    <w:rsid w:val="00312446"/>
    <w:rsid w:val="003125B6"/>
    <w:rsid w:val="00312853"/>
    <w:rsid w:val="00312993"/>
    <w:rsid w:val="00312D5E"/>
    <w:rsid w:val="0031374E"/>
    <w:rsid w:val="00313A56"/>
    <w:rsid w:val="003141D5"/>
    <w:rsid w:val="0031454E"/>
    <w:rsid w:val="003147A0"/>
    <w:rsid w:val="003148FD"/>
    <w:rsid w:val="0031495A"/>
    <w:rsid w:val="0031501D"/>
    <w:rsid w:val="00315BE0"/>
    <w:rsid w:val="00315C16"/>
    <w:rsid w:val="00315D82"/>
    <w:rsid w:val="00315DAC"/>
    <w:rsid w:val="003167E8"/>
    <w:rsid w:val="0031716E"/>
    <w:rsid w:val="00317B53"/>
    <w:rsid w:val="00320255"/>
    <w:rsid w:val="0032146D"/>
    <w:rsid w:val="00321492"/>
    <w:rsid w:val="003218F9"/>
    <w:rsid w:val="0032221A"/>
    <w:rsid w:val="00322EB9"/>
    <w:rsid w:val="0032304C"/>
    <w:rsid w:val="00323173"/>
    <w:rsid w:val="003237A4"/>
    <w:rsid w:val="00323910"/>
    <w:rsid w:val="00323BE3"/>
    <w:rsid w:val="00323E61"/>
    <w:rsid w:val="00324109"/>
    <w:rsid w:val="003249EE"/>
    <w:rsid w:val="00324AEF"/>
    <w:rsid w:val="00325130"/>
    <w:rsid w:val="003258CA"/>
    <w:rsid w:val="003259E2"/>
    <w:rsid w:val="00325BAE"/>
    <w:rsid w:val="00326388"/>
    <w:rsid w:val="00327922"/>
    <w:rsid w:val="00327E5C"/>
    <w:rsid w:val="003302F4"/>
    <w:rsid w:val="003307C3"/>
    <w:rsid w:val="003308CE"/>
    <w:rsid w:val="00331502"/>
    <w:rsid w:val="00331631"/>
    <w:rsid w:val="00331E0D"/>
    <w:rsid w:val="0033254C"/>
    <w:rsid w:val="00332A7B"/>
    <w:rsid w:val="003336BD"/>
    <w:rsid w:val="003336CC"/>
    <w:rsid w:val="00333A42"/>
    <w:rsid w:val="00334BC5"/>
    <w:rsid w:val="00334CE2"/>
    <w:rsid w:val="00334EC0"/>
    <w:rsid w:val="003352A4"/>
    <w:rsid w:val="0033533A"/>
    <w:rsid w:val="00335B43"/>
    <w:rsid w:val="00336BDC"/>
    <w:rsid w:val="00336D7F"/>
    <w:rsid w:val="00336F5F"/>
    <w:rsid w:val="00337895"/>
    <w:rsid w:val="00337969"/>
    <w:rsid w:val="00337E84"/>
    <w:rsid w:val="00337EC1"/>
    <w:rsid w:val="00337FBE"/>
    <w:rsid w:val="00340061"/>
    <w:rsid w:val="003404B1"/>
    <w:rsid w:val="003406E5"/>
    <w:rsid w:val="00341395"/>
    <w:rsid w:val="003413F0"/>
    <w:rsid w:val="003417F7"/>
    <w:rsid w:val="00341FD9"/>
    <w:rsid w:val="003427FB"/>
    <w:rsid w:val="0034292F"/>
    <w:rsid w:val="00342EB6"/>
    <w:rsid w:val="003430B2"/>
    <w:rsid w:val="003434C4"/>
    <w:rsid w:val="003439F9"/>
    <w:rsid w:val="00343A07"/>
    <w:rsid w:val="003445FC"/>
    <w:rsid w:val="00344655"/>
    <w:rsid w:val="00344841"/>
    <w:rsid w:val="0034496C"/>
    <w:rsid w:val="00344ACE"/>
    <w:rsid w:val="00345447"/>
    <w:rsid w:val="00345DFB"/>
    <w:rsid w:val="003460E5"/>
    <w:rsid w:val="0034670C"/>
    <w:rsid w:val="003467D2"/>
    <w:rsid w:val="0034691F"/>
    <w:rsid w:val="003469D0"/>
    <w:rsid w:val="003474A9"/>
    <w:rsid w:val="0034753F"/>
    <w:rsid w:val="00347D74"/>
    <w:rsid w:val="00350132"/>
    <w:rsid w:val="00350811"/>
    <w:rsid w:val="003508DC"/>
    <w:rsid w:val="00350A7C"/>
    <w:rsid w:val="00350C2C"/>
    <w:rsid w:val="00350DF0"/>
    <w:rsid w:val="00351AF4"/>
    <w:rsid w:val="00351FCF"/>
    <w:rsid w:val="0035257A"/>
    <w:rsid w:val="003525D7"/>
    <w:rsid w:val="003529E4"/>
    <w:rsid w:val="00352A3F"/>
    <w:rsid w:val="00352B86"/>
    <w:rsid w:val="00352B8D"/>
    <w:rsid w:val="00352E72"/>
    <w:rsid w:val="0035319D"/>
    <w:rsid w:val="0035341A"/>
    <w:rsid w:val="0035419A"/>
    <w:rsid w:val="00354B90"/>
    <w:rsid w:val="00354D69"/>
    <w:rsid w:val="00354D9C"/>
    <w:rsid w:val="003555D4"/>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1927"/>
    <w:rsid w:val="00361DCD"/>
    <w:rsid w:val="00361E83"/>
    <w:rsid w:val="0036217E"/>
    <w:rsid w:val="00363673"/>
    <w:rsid w:val="00363E97"/>
    <w:rsid w:val="00364C93"/>
    <w:rsid w:val="0036615F"/>
    <w:rsid w:val="00367107"/>
    <w:rsid w:val="00367765"/>
    <w:rsid w:val="00367FCB"/>
    <w:rsid w:val="00370388"/>
    <w:rsid w:val="003708C0"/>
    <w:rsid w:val="0037093C"/>
    <w:rsid w:val="003709A2"/>
    <w:rsid w:val="00370C93"/>
    <w:rsid w:val="00370F87"/>
    <w:rsid w:val="00371E13"/>
    <w:rsid w:val="0037255F"/>
    <w:rsid w:val="00372575"/>
    <w:rsid w:val="0037275D"/>
    <w:rsid w:val="00372C2A"/>
    <w:rsid w:val="003731CF"/>
    <w:rsid w:val="003737BE"/>
    <w:rsid w:val="00373A2F"/>
    <w:rsid w:val="00373B49"/>
    <w:rsid w:val="00373D71"/>
    <w:rsid w:val="00374835"/>
    <w:rsid w:val="003750B2"/>
    <w:rsid w:val="00375349"/>
    <w:rsid w:val="003758B0"/>
    <w:rsid w:val="00375DA8"/>
    <w:rsid w:val="00375DE3"/>
    <w:rsid w:val="00376101"/>
    <w:rsid w:val="00376DFD"/>
    <w:rsid w:val="00376F28"/>
    <w:rsid w:val="00377378"/>
    <w:rsid w:val="00377EB0"/>
    <w:rsid w:val="00377FA2"/>
    <w:rsid w:val="00380389"/>
    <w:rsid w:val="00380856"/>
    <w:rsid w:val="00381138"/>
    <w:rsid w:val="00381A3C"/>
    <w:rsid w:val="00381D65"/>
    <w:rsid w:val="003820C9"/>
    <w:rsid w:val="00382284"/>
    <w:rsid w:val="00382D2C"/>
    <w:rsid w:val="003831D5"/>
    <w:rsid w:val="00383C54"/>
    <w:rsid w:val="003843DE"/>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30E"/>
    <w:rsid w:val="00390755"/>
    <w:rsid w:val="00390C25"/>
    <w:rsid w:val="00391182"/>
    <w:rsid w:val="00392626"/>
    <w:rsid w:val="0039269B"/>
    <w:rsid w:val="0039281A"/>
    <w:rsid w:val="00392A93"/>
    <w:rsid w:val="00392AD4"/>
    <w:rsid w:val="003938BC"/>
    <w:rsid w:val="00393ADA"/>
    <w:rsid w:val="00394453"/>
    <w:rsid w:val="00394630"/>
    <w:rsid w:val="00395C29"/>
    <w:rsid w:val="00396876"/>
    <w:rsid w:val="003968EC"/>
    <w:rsid w:val="00396CDF"/>
    <w:rsid w:val="00397804"/>
    <w:rsid w:val="003A012F"/>
    <w:rsid w:val="003A0DB2"/>
    <w:rsid w:val="003A1BA6"/>
    <w:rsid w:val="003A2543"/>
    <w:rsid w:val="003A2841"/>
    <w:rsid w:val="003A3640"/>
    <w:rsid w:val="003A36A8"/>
    <w:rsid w:val="003A40F2"/>
    <w:rsid w:val="003A4154"/>
    <w:rsid w:val="003A48A3"/>
    <w:rsid w:val="003A4B95"/>
    <w:rsid w:val="003A4ECF"/>
    <w:rsid w:val="003A53CD"/>
    <w:rsid w:val="003A56BD"/>
    <w:rsid w:val="003A6173"/>
    <w:rsid w:val="003A65C0"/>
    <w:rsid w:val="003A6D5B"/>
    <w:rsid w:val="003A772D"/>
    <w:rsid w:val="003A79E6"/>
    <w:rsid w:val="003A7E73"/>
    <w:rsid w:val="003B02D5"/>
    <w:rsid w:val="003B0742"/>
    <w:rsid w:val="003B0C8C"/>
    <w:rsid w:val="003B141D"/>
    <w:rsid w:val="003B16B1"/>
    <w:rsid w:val="003B1AB0"/>
    <w:rsid w:val="003B2327"/>
    <w:rsid w:val="003B246A"/>
    <w:rsid w:val="003B2A3B"/>
    <w:rsid w:val="003B2A50"/>
    <w:rsid w:val="003B2C7F"/>
    <w:rsid w:val="003B3E39"/>
    <w:rsid w:val="003B46E0"/>
    <w:rsid w:val="003B4856"/>
    <w:rsid w:val="003B5366"/>
    <w:rsid w:val="003B5CE7"/>
    <w:rsid w:val="003B5EB8"/>
    <w:rsid w:val="003B6DD3"/>
    <w:rsid w:val="003B7869"/>
    <w:rsid w:val="003B79DF"/>
    <w:rsid w:val="003B7FBF"/>
    <w:rsid w:val="003C08E6"/>
    <w:rsid w:val="003C09FE"/>
    <w:rsid w:val="003C1188"/>
    <w:rsid w:val="003C1475"/>
    <w:rsid w:val="003C1507"/>
    <w:rsid w:val="003C1C0B"/>
    <w:rsid w:val="003C2087"/>
    <w:rsid w:val="003C20A5"/>
    <w:rsid w:val="003C27AB"/>
    <w:rsid w:val="003C2EA4"/>
    <w:rsid w:val="003C2F9C"/>
    <w:rsid w:val="003C30F7"/>
    <w:rsid w:val="003C345B"/>
    <w:rsid w:val="003C3916"/>
    <w:rsid w:val="003C39CC"/>
    <w:rsid w:val="003C3EF0"/>
    <w:rsid w:val="003C40FB"/>
    <w:rsid w:val="003C5E02"/>
    <w:rsid w:val="003C6A55"/>
    <w:rsid w:val="003C6B8A"/>
    <w:rsid w:val="003C6E3B"/>
    <w:rsid w:val="003C704B"/>
    <w:rsid w:val="003C7FD5"/>
    <w:rsid w:val="003D0FA8"/>
    <w:rsid w:val="003D1285"/>
    <w:rsid w:val="003D1D1B"/>
    <w:rsid w:val="003D1EB1"/>
    <w:rsid w:val="003D21F8"/>
    <w:rsid w:val="003D336B"/>
    <w:rsid w:val="003D3543"/>
    <w:rsid w:val="003D3650"/>
    <w:rsid w:val="003D368D"/>
    <w:rsid w:val="003D3882"/>
    <w:rsid w:val="003D46A0"/>
    <w:rsid w:val="003D4C03"/>
    <w:rsid w:val="003D5109"/>
    <w:rsid w:val="003D53D8"/>
    <w:rsid w:val="003D5449"/>
    <w:rsid w:val="003D55AE"/>
    <w:rsid w:val="003D5877"/>
    <w:rsid w:val="003D5FC7"/>
    <w:rsid w:val="003D6351"/>
    <w:rsid w:val="003D64C5"/>
    <w:rsid w:val="003D746D"/>
    <w:rsid w:val="003D7A58"/>
    <w:rsid w:val="003D7EB6"/>
    <w:rsid w:val="003E0AD8"/>
    <w:rsid w:val="003E0ADC"/>
    <w:rsid w:val="003E221F"/>
    <w:rsid w:val="003E280B"/>
    <w:rsid w:val="003E2FAA"/>
    <w:rsid w:val="003E36C7"/>
    <w:rsid w:val="003E3B16"/>
    <w:rsid w:val="003E3B64"/>
    <w:rsid w:val="003E3CE1"/>
    <w:rsid w:val="003E3F0A"/>
    <w:rsid w:val="003E423A"/>
    <w:rsid w:val="003E490B"/>
    <w:rsid w:val="003E4D54"/>
    <w:rsid w:val="003E5300"/>
    <w:rsid w:val="003E5B32"/>
    <w:rsid w:val="003E6251"/>
    <w:rsid w:val="003E65D0"/>
    <w:rsid w:val="003E6688"/>
    <w:rsid w:val="003E6B51"/>
    <w:rsid w:val="003E6E57"/>
    <w:rsid w:val="003E72CA"/>
    <w:rsid w:val="003E7574"/>
    <w:rsid w:val="003F0590"/>
    <w:rsid w:val="003F082B"/>
    <w:rsid w:val="003F0ECE"/>
    <w:rsid w:val="003F12D0"/>
    <w:rsid w:val="003F2118"/>
    <w:rsid w:val="003F2627"/>
    <w:rsid w:val="003F3839"/>
    <w:rsid w:val="003F39DF"/>
    <w:rsid w:val="003F47FB"/>
    <w:rsid w:val="003F4810"/>
    <w:rsid w:val="003F4D4E"/>
    <w:rsid w:val="003F56E4"/>
    <w:rsid w:val="003F5CCA"/>
    <w:rsid w:val="003F62B4"/>
    <w:rsid w:val="003F65C7"/>
    <w:rsid w:val="003F6D5F"/>
    <w:rsid w:val="003F77C9"/>
    <w:rsid w:val="003F77F7"/>
    <w:rsid w:val="003F7860"/>
    <w:rsid w:val="003F7883"/>
    <w:rsid w:val="003F7AB8"/>
    <w:rsid w:val="0040095D"/>
    <w:rsid w:val="00400B91"/>
    <w:rsid w:val="004014EC"/>
    <w:rsid w:val="00401A20"/>
    <w:rsid w:val="00401DA9"/>
    <w:rsid w:val="00401F09"/>
    <w:rsid w:val="00402BF6"/>
    <w:rsid w:val="00402F9E"/>
    <w:rsid w:val="00403BE4"/>
    <w:rsid w:val="004047EC"/>
    <w:rsid w:val="00405460"/>
    <w:rsid w:val="0040549D"/>
    <w:rsid w:val="004055CB"/>
    <w:rsid w:val="00405BB4"/>
    <w:rsid w:val="00406323"/>
    <w:rsid w:val="004063D6"/>
    <w:rsid w:val="004066F3"/>
    <w:rsid w:val="00406F20"/>
    <w:rsid w:val="00407210"/>
    <w:rsid w:val="004076B5"/>
    <w:rsid w:val="004078FD"/>
    <w:rsid w:val="00407969"/>
    <w:rsid w:val="00407FC2"/>
    <w:rsid w:val="004107B3"/>
    <w:rsid w:val="004116B5"/>
    <w:rsid w:val="00411C50"/>
    <w:rsid w:val="0041238A"/>
    <w:rsid w:val="00412562"/>
    <w:rsid w:val="004129E7"/>
    <w:rsid w:val="004132D7"/>
    <w:rsid w:val="00413304"/>
    <w:rsid w:val="00413AF9"/>
    <w:rsid w:val="0041408E"/>
    <w:rsid w:val="0041485A"/>
    <w:rsid w:val="00415602"/>
    <w:rsid w:val="00415C17"/>
    <w:rsid w:val="00415D3B"/>
    <w:rsid w:val="00415EA3"/>
    <w:rsid w:val="00416428"/>
    <w:rsid w:val="004168DB"/>
    <w:rsid w:val="00417102"/>
    <w:rsid w:val="00417139"/>
    <w:rsid w:val="004172D6"/>
    <w:rsid w:val="00417562"/>
    <w:rsid w:val="00417D03"/>
    <w:rsid w:val="0042021F"/>
    <w:rsid w:val="00420481"/>
    <w:rsid w:val="00420827"/>
    <w:rsid w:val="00420933"/>
    <w:rsid w:val="00420BCD"/>
    <w:rsid w:val="0042159A"/>
    <w:rsid w:val="00421D06"/>
    <w:rsid w:val="00422685"/>
    <w:rsid w:val="004226D5"/>
    <w:rsid w:val="00422B30"/>
    <w:rsid w:val="00422EAF"/>
    <w:rsid w:val="00423063"/>
    <w:rsid w:val="00424197"/>
    <w:rsid w:val="00424CE5"/>
    <w:rsid w:val="0042590E"/>
    <w:rsid w:val="00425926"/>
    <w:rsid w:val="0042594C"/>
    <w:rsid w:val="004261E2"/>
    <w:rsid w:val="004262AB"/>
    <w:rsid w:val="00426CF2"/>
    <w:rsid w:val="00427564"/>
    <w:rsid w:val="00427600"/>
    <w:rsid w:val="00427FCB"/>
    <w:rsid w:val="00430152"/>
    <w:rsid w:val="00431069"/>
    <w:rsid w:val="00431814"/>
    <w:rsid w:val="00432133"/>
    <w:rsid w:val="004329F5"/>
    <w:rsid w:val="00432B38"/>
    <w:rsid w:val="00432BC2"/>
    <w:rsid w:val="00432BCE"/>
    <w:rsid w:val="004333A4"/>
    <w:rsid w:val="00433909"/>
    <w:rsid w:val="004339AF"/>
    <w:rsid w:val="00433FCC"/>
    <w:rsid w:val="00434280"/>
    <w:rsid w:val="00434B8E"/>
    <w:rsid w:val="0043559D"/>
    <w:rsid w:val="0043565F"/>
    <w:rsid w:val="004356DB"/>
    <w:rsid w:val="00436211"/>
    <w:rsid w:val="0043635A"/>
    <w:rsid w:val="00436A3C"/>
    <w:rsid w:val="00436BF9"/>
    <w:rsid w:val="004370B8"/>
    <w:rsid w:val="00437190"/>
    <w:rsid w:val="004372FD"/>
    <w:rsid w:val="004379D5"/>
    <w:rsid w:val="00437A60"/>
    <w:rsid w:val="00437DF1"/>
    <w:rsid w:val="00440248"/>
    <w:rsid w:val="00440B98"/>
    <w:rsid w:val="004413E5"/>
    <w:rsid w:val="00441C09"/>
    <w:rsid w:val="0044204C"/>
    <w:rsid w:val="00442489"/>
    <w:rsid w:val="00442D1B"/>
    <w:rsid w:val="004434D9"/>
    <w:rsid w:val="0044354C"/>
    <w:rsid w:val="0044460E"/>
    <w:rsid w:val="00444A06"/>
    <w:rsid w:val="004459BE"/>
    <w:rsid w:val="00445B43"/>
    <w:rsid w:val="00446111"/>
    <w:rsid w:val="00446791"/>
    <w:rsid w:val="00446AB7"/>
    <w:rsid w:val="00446BA5"/>
    <w:rsid w:val="00446FA1"/>
    <w:rsid w:val="004470E3"/>
    <w:rsid w:val="00447206"/>
    <w:rsid w:val="00447803"/>
    <w:rsid w:val="00447BC1"/>
    <w:rsid w:val="00447CE3"/>
    <w:rsid w:val="00450246"/>
    <w:rsid w:val="00450AA0"/>
    <w:rsid w:val="004512DD"/>
    <w:rsid w:val="00451300"/>
    <w:rsid w:val="004515AF"/>
    <w:rsid w:val="0045173D"/>
    <w:rsid w:val="00451A00"/>
    <w:rsid w:val="00451ABF"/>
    <w:rsid w:val="004530D2"/>
    <w:rsid w:val="0045315C"/>
    <w:rsid w:val="00453478"/>
    <w:rsid w:val="00454522"/>
    <w:rsid w:val="00454582"/>
    <w:rsid w:val="00454744"/>
    <w:rsid w:val="0045611C"/>
    <w:rsid w:val="00457392"/>
    <w:rsid w:val="004576A1"/>
    <w:rsid w:val="00457B9D"/>
    <w:rsid w:val="004604C1"/>
    <w:rsid w:val="0046059A"/>
    <w:rsid w:val="00460AD3"/>
    <w:rsid w:val="00461D73"/>
    <w:rsid w:val="00461DE2"/>
    <w:rsid w:val="00461EBD"/>
    <w:rsid w:val="004625D8"/>
    <w:rsid w:val="00462C92"/>
    <w:rsid w:val="00462D0F"/>
    <w:rsid w:val="004631AC"/>
    <w:rsid w:val="004631B1"/>
    <w:rsid w:val="0046331A"/>
    <w:rsid w:val="00464085"/>
    <w:rsid w:val="00464B0B"/>
    <w:rsid w:val="00465D24"/>
    <w:rsid w:val="00465EF2"/>
    <w:rsid w:val="00466468"/>
    <w:rsid w:val="00466EEB"/>
    <w:rsid w:val="00467571"/>
    <w:rsid w:val="004676D2"/>
    <w:rsid w:val="0047038D"/>
    <w:rsid w:val="004705F5"/>
    <w:rsid w:val="00470C0C"/>
    <w:rsid w:val="00471023"/>
    <w:rsid w:val="004710C0"/>
    <w:rsid w:val="00471216"/>
    <w:rsid w:val="00471980"/>
    <w:rsid w:val="00471A8B"/>
    <w:rsid w:val="00471E4A"/>
    <w:rsid w:val="004722E0"/>
    <w:rsid w:val="00472601"/>
    <w:rsid w:val="00473170"/>
    <w:rsid w:val="004731EE"/>
    <w:rsid w:val="00473DAB"/>
    <w:rsid w:val="0047403B"/>
    <w:rsid w:val="00474042"/>
    <w:rsid w:val="0047406C"/>
    <w:rsid w:val="00474349"/>
    <w:rsid w:val="0047492D"/>
    <w:rsid w:val="00474E2B"/>
    <w:rsid w:val="00474E90"/>
    <w:rsid w:val="004757C8"/>
    <w:rsid w:val="00476248"/>
    <w:rsid w:val="00476785"/>
    <w:rsid w:val="0047696F"/>
    <w:rsid w:val="004769A8"/>
    <w:rsid w:val="00476B82"/>
    <w:rsid w:val="00476ECD"/>
    <w:rsid w:val="00477645"/>
    <w:rsid w:val="00477EE0"/>
    <w:rsid w:val="0048016F"/>
    <w:rsid w:val="00480371"/>
    <w:rsid w:val="00480560"/>
    <w:rsid w:val="00480A2C"/>
    <w:rsid w:val="0048128D"/>
    <w:rsid w:val="00481B60"/>
    <w:rsid w:val="00482055"/>
    <w:rsid w:val="00482303"/>
    <w:rsid w:val="00482D44"/>
    <w:rsid w:val="004837D0"/>
    <w:rsid w:val="00484AEE"/>
    <w:rsid w:val="00484CC7"/>
    <w:rsid w:val="004855B3"/>
    <w:rsid w:val="00485F78"/>
    <w:rsid w:val="0048668F"/>
    <w:rsid w:val="00486C8E"/>
    <w:rsid w:val="00486E1F"/>
    <w:rsid w:val="004871B4"/>
    <w:rsid w:val="004872B7"/>
    <w:rsid w:val="00490A8E"/>
    <w:rsid w:val="00490F59"/>
    <w:rsid w:val="00491BAA"/>
    <w:rsid w:val="00491BCF"/>
    <w:rsid w:val="004928AB"/>
    <w:rsid w:val="00493280"/>
    <w:rsid w:val="0049386D"/>
    <w:rsid w:val="004938CD"/>
    <w:rsid w:val="00493F8C"/>
    <w:rsid w:val="004940AE"/>
    <w:rsid w:val="00494109"/>
    <w:rsid w:val="0049490D"/>
    <w:rsid w:val="00494A20"/>
    <w:rsid w:val="00494B54"/>
    <w:rsid w:val="00495220"/>
    <w:rsid w:val="0049534C"/>
    <w:rsid w:val="004953C8"/>
    <w:rsid w:val="0049590C"/>
    <w:rsid w:val="0049596D"/>
    <w:rsid w:val="00495BAE"/>
    <w:rsid w:val="004960E3"/>
    <w:rsid w:val="0049628D"/>
    <w:rsid w:val="00497829"/>
    <w:rsid w:val="00497923"/>
    <w:rsid w:val="004979C5"/>
    <w:rsid w:val="00497AF0"/>
    <w:rsid w:val="00497C45"/>
    <w:rsid w:val="00497FED"/>
    <w:rsid w:val="004A009F"/>
    <w:rsid w:val="004A041C"/>
    <w:rsid w:val="004A071D"/>
    <w:rsid w:val="004A0CDF"/>
    <w:rsid w:val="004A0FFB"/>
    <w:rsid w:val="004A1286"/>
    <w:rsid w:val="004A1932"/>
    <w:rsid w:val="004A1B6B"/>
    <w:rsid w:val="004A1D75"/>
    <w:rsid w:val="004A253B"/>
    <w:rsid w:val="004A382D"/>
    <w:rsid w:val="004A436F"/>
    <w:rsid w:val="004A4693"/>
    <w:rsid w:val="004A4AF8"/>
    <w:rsid w:val="004A4D62"/>
    <w:rsid w:val="004A526D"/>
    <w:rsid w:val="004A5FBF"/>
    <w:rsid w:val="004A63E4"/>
    <w:rsid w:val="004A63EC"/>
    <w:rsid w:val="004A6947"/>
    <w:rsid w:val="004A6F0E"/>
    <w:rsid w:val="004A73AB"/>
    <w:rsid w:val="004A740D"/>
    <w:rsid w:val="004A7E83"/>
    <w:rsid w:val="004B00E1"/>
    <w:rsid w:val="004B0A55"/>
    <w:rsid w:val="004B0A56"/>
    <w:rsid w:val="004B0F75"/>
    <w:rsid w:val="004B11A7"/>
    <w:rsid w:val="004B12DB"/>
    <w:rsid w:val="004B1534"/>
    <w:rsid w:val="004B2643"/>
    <w:rsid w:val="004B26D6"/>
    <w:rsid w:val="004B2B00"/>
    <w:rsid w:val="004B2B6C"/>
    <w:rsid w:val="004B3191"/>
    <w:rsid w:val="004B31E4"/>
    <w:rsid w:val="004B37DC"/>
    <w:rsid w:val="004B42E7"/>
    <w:rsid w:val="004B4911"/>
    <w:rsid w:val="004B53F7"/>
    <w:rsid w:val="004B5E03"/>
    <w:rsid w:val="004B5F60"/>
    <w:rsid w:val="004B5FA6"/>
    <w:rsid w:val="004B60F3"/>
    <w:rsid w:val="004B660B"/>
    <w:rsid w:val="004B69D6"/>
    <w:rsid w:val="004B6EFC"/>
    <w:rsid w:val="004B706A"/>
    <w:rsid w:val="004B75CA"/>
    <w:rsid w:val="004B7A21"/>
    <w:rsid w:val="004C01FF"/>
    <w:rsid w:val="004C06C4"/>
    <w:rsid w:val="004C07BB"/>
    <w:rsid w:val="004C07FE"/>
    <w:rsid w:val="004C0E96"/>
    <w:rsid w:val="004C0F5B"/>
    <w:rsid w:val="004C1A0C"/>
    <w:rsid w:val="004C1ADC"/>
    <w:rsid w:val="004C2091"/>
    <w:rsid w:val="004C24D1"/>
    <w:rsid w:val="004C3627"/>
    <w:rsid w:val="004C3740"/>
    <w:rsid w:val="004C3C3E"/>
    <w:rsid w:val="004C3CBF"/>
    <w:rsid w:val="004C464C"/>
    <w:rsid w:val="004C4732"/>
    <w:rsid w:val="004C5C7E"/>
    <w:rsid w:val="004C5DD6"/>
    <w:rsid w:val="004C6F98"/>
    <w:rsid w:val="004C7581"/>
    <w:rsid w:val="004C7A35"/>
    <w:rsid w:val="004D053B"/>
    <w:rsid w:val="004D0961"/>
    <w:rsid w:val="004D0BBE"/>
    <w:rsid w:val="004D0BCD"/>
    <w:rsid w:val="004D1299"/>
    <w:rsid w:val="004D1853"/>
    <w:rsid w:val="004D29E6"/>
    <w:rsid w:val="004D3524"/>
    <w:rsid w:val="004D357C"/>
    <w:rsid w:val="004D35AD"/>
    <w:rsid w:val="004D3722"/>
    <w:rsid w:val="004D3952"/>
    <w:rsid w:val="004D398A"/>
    <w:rsid w:val="004D3F90"/>
    <w:rsid w:val="004D4448"/>
    <w:rsid w:val="004D4459"/>
    <w:rsid w:val="004D4633"/>
    <w:rsid w:val="004D464B"/>
    <w:rsid w:val="004D4A1F"/>
    <w:rsid w:val="004D4D7D"/>
    <w:rsid w:val="004D4F26"/>
    <w:rsid w:val="004D5AFD"/>
    <w:rsid w:val="004D5EF6"/>
    <w:rsid w:val="004D6A39"/>
    <w:rsid w:val="004E02F7"/>
    <w:rsid w:val="004E07D8"/>
    <w:rsid w:val="004E0EC5"/>
    <w:rsid w:val="004E1002"/>
    <w:rsid w:val="004E1319"/>
    <w:rsid w:val="004E134C"/>
    <w:rsid w:val="004E13FD"/>
    <w:rsid w:val="004E1723"/>
    <w:rsid w:val="004E17D3"/>
    <w:rsid w:val="004E1975"/>
    <w:rsid w:val="004E1A9F"/>
    <w:rsid w:val="004E1E85"/>
    <w:rsid w:val="004E24D2"/>
    <w:rsid w:val="004E2E67"/>
    <w:rsid w:val="004E315B"/>
    <w:rsid w:val="004E38EF"/>
    <w:rsid w:val="004E394E"/>
    <w:rsid w:val="004E49C6"/>
    <w:rsid w:val="004E4BDD"/>
    <w:rsid w:val="004E4FDD"/>
    <w:rsid w:val="004E52AF"/>
    <w:rsid w:val="004E52D8"/>
    <w:rsid w:val="004E532C"/>
    <w:rsid w:val="004E6A7A"/>
    <w:rsid w:val="004E6BC1"/>
    <w:rsid w:val="004E7483"/>
    <w:rsid w:val="004F06EA"/>
    <w:rsid w:val="004F0A5E"/>
    <w:rsid w:val="004F0B9E"/>
    <w:rsid w:val="004F27CF"/>
    <w:rsid w:val="004F2888"/>
    <w:rsid w:val="004F293E"/>
    <w:rsid w:val="004F2C4C"/>
    <w:rsid w:val="004F34E8"/>
    <w:rsid w:val="004F3C7C"/>
    <w:rsid w:val="004F401D"/>
    <w:rsid w:val="004F45A4"/>
    <w:rsid w:val="004F45B9"/>
    <w:rsid w:val="004F4CD3"/>
    <w:rsid w:val="004F541A"/>
    <w:rsid w:val="004F548F"/>
    <w:rsid w:val="004F570C"/>
    <w:rsid w:val="004F5E3A"/>
    <w:rsid w:val="004F60DA"/>
    <w:rsid w:val="004F7395"/>
    <w:rsid w:val="004F76E2"/>
    <w:rsid w:val="004F7802"/>
    <w:rsid w:val="00500670"/>
    <w:rsid w:val="005009BE"/>
    <w:rsid w:val="005016A4"/>
    <w:rsid w:val="00501A39"/>
    <w:rsid w:val="0050204D"/>
    <w:rsid w:val="00502663"/>
    <w:rsid w:val="00502829"/>
    <w:rsid w:val="00502CEF"/>
    <w:rsid w:val="005034C5"/>
    <w:rsid w:val="00503E00"/>
    <w:rsid w:val="00503EF7"/>
    <w:rsid w:val="0050412F"/>
    <w:rsid w:val="0050499F"/>
    <w:rsid w:val="00504D09"/>
    <w:rsid w:val="0050506C"/>
    <w:rsid w:val="005055AC"/>
    <w:rsid w:val="005055B6"/>
    <w:rsid w:val="00505AA9"/>
    <w:rsid w:val="00505BA8"/>
    <w:rsid w:val="00505C32"/>
    <w:rsid w:val="00505F81"/>
    <w:rsid w:val="00506343"/>
    <w:rsid w:val="005075BB"/>
    <w:rsid w:val="0050794C"/>
    <w:rsid w:val="00507EE2"/>
    <w:rsid w:val="00510061"/>
    <w:rsid w:val="0051137F"/>
    <w:rsid w:val="005115D6"/>
    <w:rsid w:val="0051169B"/>
    <w:rsid w:val="005121A0"/>
    <w:rsid w:val="0051222A"/>
    <w:rsid w:val="0051243B"/>
    <w:rsid w:val="00512A70"/>
    <w:rsid w:val="00512AC1"/>
    <w:rsid w:val="00512D48"/>
    <w:rsid w:val="0051300E"/>
    <w:rsid w:val="00513CEF"/>
    <w:rsid w:val="0051449C"/>
    <w:rsid w:val="005145F3"/>
    <w:rsid w:val="00514A0C"/>
    <w:rsid w:val="00514CCC"/>
    <w:rsid w:val="00514EB8"/>
    <w:rsid w:val="00515877"/>
    <w:rsid w:val="0051673C"/>
    <w:rsid w:val="005169BB"/>
    <w:rsid w:val="00517029"/>
    <w:rsid w:val="0051733D"/>
    <w:rsid w:val="0051787B"/>
    <w:rsid w:val="00517F5C"/>
    <w:rsid w:val="0052014E"/>
    <w:rsid w:val="00520198"/>
    <w:rsid w:val="00520CB1"/>
    <w:rsid w:val="00521BC1"/>
    <w:rsid w:val="00521D36"/>
    <w:rsid w:val="00521FC4"/>
    <w:rsid w:val="005231ED"/>
    <w:rsid w:val="005237A5"/>
    <w:rsid w:val="005239A0"/>
    <w:rsid w:val="00523C20"/>
    <w:rsid w:val="00523E1B"/>
    <w:rsid w:val="005246D9"/>
    <w:rsid w:val="0052485D"/>
    <w:rsid w:val="00524CB1"/>
    <w:rsid w:val="0052539D"/>
    <w:rsid w:val="00525461"/>
    <w:rsid w:val="005258B9"/>
    <w:rsid w:val="005263E4"/>
    <w:rsid w:val="00526709"/>
    <w:rsid w:val="005271C8"/>
    <w:rsid w:val="00527551"/>
    <w:rsid w:val="0052763F"/>
    <w:rsid w:val="00527782"/>
    <w:rsid w:val="005277FE"/>
    <w:rsid w:val="00527CCA"/>
    <w:rsid w:val="00527CF1"/>
    <w:rsid w:val="00527F4C"/>
    <w:rsid w:val="005300A5"/>
    <w:rsid w:val="00530BA6"/>
    <w:rsid w:val="005314A7"/>
    <w:rsid w:val="0053157C"/>
    <w:rsid w:val="0053158A"/>
    <w:rsid w:val="0053164A"/>
    <w:rsid w:val="00531937"/>
    <w:rsid w:val="00531999"/>
    <w:rsid w:val="00531C2B"/>
    <w:rsid w:val="00531ECB"/>
    <w:rsid w:val="00532474"/>
    <w:rsid w:val="00532607"/>
    <w:rsid w:val="00532ABC"/>
    <w:rsid w:val="00532C20"/>
    <w:rsid w:val="00533EB1"/>
    <w:rsid w:val="0053420F"/>
    <w:rsid w:val="005342F6"/>
    <w:rsid w:val="005344A6"/>
    <w:rsid w:val="00534502"/>
    <w:rsid w:val="005349D3"/>
    <w:rsid w:val="00534DAA"/>
    <w:rsid w:val="00535B27"/>
    <w:rsid w:val="0053651E"/>
    <w:rsid w:val="00536A4C"/>
    <w:rsid w:val="00536D6D"/>
    <w:rsid w:val="005370B6"/>
    <w:rsid w:val="00537AF1"/>
    <w:rsid w:val="00537C6A"/>
    <w:rsid w:val="00537F99"/>
    <w:rsid w:val="00540443"/>
    <w:rsid w:val="00541179"/>
    <w:rsid w:val="005414C9"/>
    <w:rsid w:val="005415EE"/>
    <w:rsid w:val="0054163B"/>
    <w:rsid w:val="0054175E"/>
    <w:rsid w:val="00542076"/>
    <w:rsid w:val="0054254B"/>
    <w:rsid w:val="00543988"/>
    <w:rsid w:val="00544064"/>
    <w:rsid w:val="00544241"/>
    <w:rsid w:val="0054462D"/>
    <w:rsid w:val="00544B1C"/>
    <w:rsid w:val="00544CBC"/>
    <w:rsid w:val="00545BF0"/>
    <w:rsid w:val="00546014"/>
    <w:rsid w:val="005461D0"/>
    <w:rsid w:val="00546300"/>
    <w:rsid w:val="00546371"/>
    <w:rsid w:val="0054642B"/>
    <w:rsid w:val="00546ADB"/>
    <w:rsid w:val="00546B23"/>
    <w:rsid w:val="00546C6A"/>
    <w:rsid w:val="00546F82"/>
    <w:rsid w:val="00547193"/>
    <w:rsid w:val="00547540"/>
    <w:rsid w:val="00547630"/>
    <w:rsid w:val="005476BA"/>
    <w:rsid w:val="00547983"/>
    <w:rsid w:val="00547A27"/>
    <w:rsid w:val="00547AD7"/>
    <w:rsid w:val="00547DAC"/>
    <w:rsid w:val="00547E99"/>
    <w:rsid w:val="005505AB"/>
    <w:rsid w:val="005507FE"/>
    <w:rsid w:val="005518F2"/>
    <w:rsid w:val="00552250"/>
    <w:rsid w:val="005523C8"/>
    <w:rsid w:val="005526CB"/>
    <w:rsid w:val="005529E5"/>
    <w:rsid w:val="00552A7B"/>
    <w:rsid w:val="00553360"/>
    <w:rsid w:val="00553601"/>
    <w:rsid w:val="00553710"/>
    <w:rsid w:val="00553DCC"/>
    <w:rsid w:val="00554347"/>
    <w:rsid w:val="0055469B"/>
    <w:rsid w:val="0055478C"/>
    <w:rsid w:val="00554B22"/>
    <w:rsid w:val="00554D35"/>
    <w:rsid w:val="00554FEB"/>
    <w:rsid w:val="005550E8"/>
    <w:rsid w:val="00555241"/>
    <w:rsid w:val="0055565C"/>
    <w:rsid w:val="00555A3F"/>
    <w:rsid w:val="00555C3A"/>
    <w:rsid w:val="00555D21"/>
    <w:rsid w:val="00555FCC"/>
    <w:rsid w:val="005563B1"/>
    <w:rsid w:val="00557CC4"/>
    <w:rsid w:val="0056070F"/>
    <w:rsid w:val="0056091E"/>
    <w:rsid w:val="00560B26"/>
    <w:rsid w:val="00560B9C"/>
    <w:rsid w:val="00560E52"/>
    <w:rsid w:val="00560E87"/>
    <w:rsid w:val="00561330"/>
    <w:rsid w:val="005619E0"/>
    <w:rsid w:val="005623F3"/>
    <w:rsid w:val="0056248E"/>
    <w:rsid w:val="0056385D"/>
    <w:rsid w:val="00563B43"/>
    <w:rsid w:val="00564569"/>
    <w:rsid w:val="00564D58"/>
    <w:rsid w:val="00565452"/>
    <w:rsid w:val="0056579B"/>
    <w:rsid w:val="00565959"/>
    <w:rsid w:val="00565A7E"/>
    <w:rsid w:val="00565B7E"/>
    <w:rsid w:val="0056748C"/>
    <w:rsid w:val="005679D7"/>
    <w:rsid w:val="00567FC3"/>
    <w:rsid w:val="00570114"/>
    <w:rsid w:val="005704DC"/>
    <w:rsid w:val="00570B18"/>
    <w:rsid w:val="00570D8C"/>
    <w:rsid w:val="00571552"/>
    <w:rsid w:val="005729C6"/>
    <w:rsid w:val="00572AC6"/>
    <w:rsid w:val="005734D7"/>
    <w:rsid w:val="005736E9"/>
    <w:rsid w:val="0057430E"/>
    <w:rsid w:val="0057491D"/>
    <w:rsid w:val="00574B39"/>
    <w:rsid w:val="00575610"/>
    <w:rsid w:val="00575C1F"/>
    <w:rsid w:val="00575CDC"/>
    <w:rsid w:val="005769BC"/>
    <w:rsid w:val="005772D2"/>
    <w:rsid w:val="00577356"/>
    <w:rsid w:val="00577910"/>
    <w:rsid w:val="00577C63"/>
    <w:rsid w:val="00577D69"/>
    <w:rsid w:val="0058020E"/>
    <w:rsid w:val="005808C6"/>
    <w:rsid w:val="00580B40"/>
    <w:rsid w:val="00580FC6"/>
    <w:rsid w:val="00581DFF"/>
    <w:rsid w:val="00582731"/>
    <w:rsid w:val="005838D4"/>
    <w:rsid w:val="00583DFD"/>
    <w:rsid w:val="00583E5E"/>
    <w:rsid w:val="00583F89"/>
    <w:rsid w:val="0058403F"/>
    <w:rsid w:val="005840FC"/>
    <w:rsid w:val="005845D3"/>
    <w:rsid w:val="00584BF1"/>
    <w:rsid w:val="0058516F"/>
    <w:rsid w:val="0058566C"/>
    <w:rsid w:val="005858B1"/>
    <w:rsid w:val="0058678B"/>
    <w:rsid w:val="00586ADE"/>
    <w:rsid w:val="0058709F"/>
    <w:rsid w:val="00587A8E"/>
    <w:rsid w:val="00587EAC"/>
    <w:rsid w:val="00591579"/>
    <w:rsid w:val="005921F9"/>
    <w:rsid w:val="0059237B"/>
    <w:rsid w:val="005928FD"/>
    <w:rsid w:val="00592F41"/>
    <w:rsid w:val="00593414"/>
    <w:rsid w:val="0059357F"/>
    <w:rsid w:val="005935BC"/>
    <w:rsid w:val="005938AB"/>
    <w:rsid w:val="00593B03"/>
    <w:rsid w:val="00594AEC"/>
    <w:rsid w:val="00595BAD"/>
    <w:rsid w:val="00595EA6"/>
    <w:rsid w:val="005961AD"/>
    <w:rsid w:val="005965F2"/>
    <w:rsid w:val="00596720"/>
    <w:rsid w:val="005967D1"/>
    <w:rsid w:val="0059712B"/>
    <w:rsid w:val="00597BFF"/>
    <w:rsid w:val="00597F46"/>
    <w:rsid w:val="005A0007"/>
    <w:rsid w:val="005A0501"/>
    <w:rsid w:val="005A0692"/>
    <w:rsid w:val="005A0AEE"/>
    <w:rsid w:val="005A1346"/>
    <w:rsid w:val="005A14B9"/>
    <w:rsid w:val="005A173A"/>
    <w:rsid w:val="005A17B0"/>
    <w:rsid w:val="005A1981"/>
    <w:rsid w:val="005A1A2E"/>
    <w:rsid w:val="005A1C4A"/>
    <w:rsid w:val="005A2248"/>
    <w:rsid w:val="005A2252"/>
    <w:rsid w:val="005A233F"/>
    <w:rsid w:val="005A2736"/>
    <w:rsid w:val="005A276A"/>
    <w:rsid w:val="005A27F5"/>
    <w:rsid w:val="005A28EB"/>
    <w:rsid w:val="005A2DE3"/>
    <w:rsid w:val="005A2E29"/>
    <w:rsid w:val="005A2E6A"/>
    <w:rsid w:val="005A3160"/>
    <w:rsid w:val="005A354C"/>
    <w:rsid w:val="005A3C03"/>
    <w:rsid w:val="005A3DEB"/>
    <w:rsid w:val="005A4037"/>
    <w:rsid w:val="005A5A04"/>
    <w:rsid w:val="005A5E69"/>
    <w:rsid w:val="005A6765"/>
    <w:rsid w:val="005A6DA7"/>
    <w:rsid w:val="005A709A"/>
    <w:rsid w:val="005A72FB"/>
    <w:rsid w:val="005A7507"/>
    <w:rsid w:val="005A7965"/>
    <w:rsid w:val="005B05B4"/>
    <w:rsid w:val="005B078A"/>
    <w:rsid w:val="005B0C36"/>
    <w:rsid w:val="005B0F46"/>
    <w:rsid w:val="005B12C0"/>
    <w:rsid w:val="005B1380"/>
    <w:rsid w:val="005B1465"/>
    <w:rsid w:val="005B15A2"/>
    <w:rsid w:val="005B1BFA"/>
    <w:rsid w:val="005B1DF6"/>
    <w:rsid w:val="005B1F11"/>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327"/>
    <w:rsid w:val="005B5770"/>
    <w:rsid w:val="005B5B64"/>
    <w:rsid w:val="005B5D09"/>
    <w:rsid w:val="005B6439"/>
    <w:rsid w:val="005B6F71"/>
    <w:rsid w:val="005B7DA4"/>
    <w:rsid w:val="005B7E13"/>
    <w:rsid w:val="005C0FF5"/>
    <w:rsid w:val="005C11A9"/>
    <w:rsid w:val="005C1D65"/>
    <w:rsid w:val="005C2237"/>
    <w:rsid w:val="005C2E5A"/>
    <w:rsid w:val="005C352A"/>
    <w:rsid w:val="005C3B88"/>
    <w:rsid w:val="005C3DB7"/>
    <w:rsid w:val="005C3F7C"/>
    <w:rsid w:val="005C456E"/>
    <w:rsid w:val="005C47F7"/>
    <w:rsid w:val="005C4AC1"/>
    <w:rsid w:val="005C540D"/>
    <w:rsid w:val="005C55EF"/>
    <w:rsid w:val="005C5A44"/>
    <w:rsid w:val="005C5B47"/>
    <w:rsid w:val="005C6614"/>
    <w:rsid w:val="005C6641"/>
    <w:rsid w:val="005C6AA0"/>
    <w:rsid w:val="005C7302"/>
    <w:rsid w:val="005C7882"/>
    <w:rsid w:val="005C7A22"/>
    <w:rsid w:val="005D0086"/>
    <w:rsid w:val="005D0D7D"/>
    <w:rsid w:val="005D187F"/>
    <w:rsid w:val="005D1990"/>
    <w:rsid w:val="005D21A9"/>
    <w:rsid w:val="005D2682"/>
    <w:rsid w:val="005D295E"/>
    <w:rsid w:val="005D334A"/>
    <w:rsid w:val="005D348D"/>
    <w:rsid w:val="005D3B68"/>
    <w:rsid w:val="005D3D95"/>
    <w:rsid w:val="005D4829"/>
    <w:rsid w:val="005D4A73"/>
    <w:rsid w:val="005D4AD7"/>
    <w:rsid w:val="005D5526"/>
    <w:rsid w:val="005D5570"/>
    <w:rsid w:val="005D5CD3"/>
    <w:rsid w:val="005D6055"/>
    <w:rsid w:val="005D6102"/>
    <w:rsid w:val="005D6117"/>
    <w:rsid w:val="005D6539"/>
    <w:rsid w:val="005D6548"/>
    <w:rsid w:val="005D6E3A"/>
    <w:rsid w:val="005D7459"/>
    <w:rsid w:val="005E20F0"/>
    <w:rsid w:val="005E315F"/>
    <w:rsid w:val="005E4359"/>
    <w:rsid w:val="005E4682"/>
    <w:rsid w:val="005E477E"/>
    <w:rsid w:val="005E571B"/>
    <w:rsid w:val="005E5F00"/>
    <w:rsid w:val="005E6170"/>
    <w:rsid w:val="005E647F"/>
    <w:rsid w:val="005E64D8"/>
    <w:rsid w:val="005E68BB"/>
    <w:rsid w:val="005E691C"/>
    <w:rsid w:val="005E77ED"/>
    <w:rsid w:val="005E78E3"/>
    <w:rsid w:val="005E78FF"/>
    <w:rsid w:val="005E7A1A"/>
    <w:rsid w:val="005F0248"/>
    <w:rsid w:val="005F0313"/>
    <w:rsid w:val="005F05A1"/>
    <w:rsid w:val="005F1387"/>
    <w:rsid w:val="005F14F9"/>
    <w:rsid w:val="005F2D77"/>
    <w:rsid w:val="005F3191"/>
    <w:rsid w:val="005F32AC"/>
    <w:rsid w:val="005F33A0"/>
    <w:rsid w:val="005F3434"/>
    <w:rsid w:val="005F3C68"/>
    <w:rsid w:val="005F3D59"/>
    <w:rsid w:val="005F40F7"/>
    <w:rsid w:val="005F410A"/>
    <w:rsid w:val="005F4283"/>
    <w:rsid w:val="005F441B"/>
    <w:rsid w:val="005F441E"/>
    <w:rsid w:val="005F4539"/>
    <w:rsid w:val="005F45EB"/>
    <w:rsid w:val="005F48C7"/>
    <w:rsid w:val="005F5282"/>
    <w:rsid w:val="005F55BE"/>
    <w:rsid w:val="005F56D1"/>
    <w:rsid w:val="005F5A3C"/>
    <w:rsid w:val="005F62E7"/>
    <w:rsid w:val="005F6C0F"/>
    <w:rsid w:val="005F74A2"/>
    <w:rsid w:val="005F7955"/>
    <w:rsid w:val="00600B10"/>
    <w:rsid w:val="00600E97"/>
    <w:rsid w:val="006012B3"/>
    <w:rsid w:val="0060130E"/>
    <w:rsid w:val="0060186C"/>
    <w:rsid w:val="006018DC"/>
    <w:rsid w:val="00601AD7"/>
    <w:rsid w:val="0060284F"/>
    <w:rsid w:val="00602A1E"/>
    <w:rsid w:val="006035FA"/>
    <w:rsid w:val="006037E5"/>
    <w:rsid w:val="00603BC4"/>
    <w:rsid w:val="00604C09"/>
    <w:rsid w:val="00604D27"/>
    <w:rsid w:val="006054DE"/>
    <w:rsid w:val="00605E50"/>
    <w:rsid w:val="006063D5"/>
    <w:rsid w:val="00606BEA"/>
    <w:rsid w:val="00607090"/>
    <w:rsid w:val="00607A7B"/>
    <w:rsid w:val="00607B90"/>
    <w:rsid w:val="006104F5"/>
    <w:rsid w:val="0061097A"/>
    <w:rsid w:val="00611317"/>
    <w:rsid w:val="0061143B"/>
    <w:rsid w:val="006119FF"/>
    <w:rsid w:val="00612400"/>
    <w:rsid w:val="0061256A"/>
    <w:rsid w:val="00612674"/>
    <w:rsid w:val="00612797"/>
    <w:rsid w:val="00612E32"/>
    <w:rsid w:val="006133F7"/>
    <w:rsid w:val="00613536"/>
    <w:rsid w:val="00613578"/>
    <w:rsid w:val="00613C89"/>
    <w:rsid w:val="00614144"/>
    <w:rsid w:val="0061461D"/>
    <w:rsid w:val="00615231"/>
    <w:rsid w:val="00615310"/>
    <w:rsid w:val="006156D1"/>
    <w:rsid w:val="00615D88"/>
    <w:rsid w:val="00615DFD"/>
    <w:rsid w:val="00616100"/>
    <w:rsid w:val="006163B5"/>
    <w:rsid w:val="00616967"/>
    <w:rsid w:val="00616DDF"/>
    <w:rsid w:val="00616E04"/>
    <w:rsid w:val="006171FF"/>
    <w:rsid w:val="0061762E"/>
    <w:rsid w:val="00620308"/>
    <w:rsid w:val="00620DDC"/>
    <w:rsid w:val="006212DB"/>
    <w:rsid w:val="006216BE"/>
    <w:rsid w:val="00621B7F"/>
    <w:rsid w:val="00621BCE"/>
    <w:rsid w:val="00622631"/>
    <w:rsid w:val="00622CE6"/>
    <w:rsid w:val="00624A61"/>
    <w:rsid w:val="00624D1F"/>
    <w:rsid w:val="00624E3D"/>
    <w:rsid w:val="006252F8"/>
    <w:rsid w:val="0062584E"/>
    <w:rsid w:val="00626111"/>
    <w:rsid w:val="00626363"/>
    <w:rsid w:val="006265E3"/>
    <w:rsid w:val="0062743C"/>
    <w:rsid w:val="00627C0A"/>
    <w:rsid w:val="00627D10"/>
    <w:rsid w:val="00627FAD"/>
    <w:rsid w:val="0063060C"/>
    <w:rsid w:val="00631060"/>
    <w:rsid w:val="006312D2"/>
    <w:rsid w:val="00631349"/>
    <w:rsid w:val="00631742"/>
    <w:rsid w:val="00631F42"/>
    <w:rsid w:val="0063213E"/>
    <w:rsid w:val="00632397"/>
    <w:rsid w:val="00632868"/>
    <w:rsid w:val="006328D8"/>
    <w:rsid w:val="00632AE6"/>
    <w:rsid w:val="00632C6E"/>
    <w:rsid w:val="00633289"/>
    <w:rsid w:val="00633611"/>
    <w:rsid w:val="006339A9"/>
    <w:rsid w:val="006339D2"/>
    <w:rsid w:val="00633E8B"/>
    <w:rsid w:val="00634A4F"/>
    <w:rsid w:val="006357FE"/>
    <w:rsid w:val="006358FE"/>
    <w:rsid w:val="006359BF"/>
    <w:rsid w:val="00635D33"/>
    <w:rsid w:val="00635F30"/>
    <w:rsid w:val="00636004"/>
    <w:rsid w:val="006365E7"/>
    <w:rsid w:val="00636680"/>
    <w:rsid w:val="00636A77"/>
    <w:rsid w:val="00636B41"/>
    <w:rsid w:val="00636CF5"/>
    <w:rsid w:val="00636E9E"/>
    <w:rsid w:val="006371EB"/>
    <w:rsid w:val="006373E1"/>
    <w:rsid w:val="006404E9"/>
    <w:rsid w:val="00640537"/>
    <w:rsid w:val="00640D50"/>
    <w:rsid w:val="00640E5B"/>
    <w:rsid w:val="00641273"/>
    <w:rsid w:val="00641598"/>
    <w:rsid w:val="00642AA3"/>
    <w:rsid w:val="00642E2E"/>
    <w:rsid w:val="006436FC"/>
    <w:rsid w:val="006437B3"/>
    <w:rsid w:val="00644219"/>
    <w:rsid w:val="00644285"/>
    <w:rsid w:val="006443BD"/>
    <w:rsid w:val="00644A9C"/>
    <w:rsid w:val="00644EC7"/>
    <w:rsid w:val="00645634"/>
    <w:rsid w:val="0064563D"/>
    <w:rsid w:val="006457F2"/>
    <w:rsid w:val="0064617E"/>
    <w:rsid w:val="00646422"/>
    <w:rsid w:val="00646AC1"/>
    <w:rsid w:val="006474FD"/>
    <w:rsid w:val="00647874"/>
    <w:rsid w:val="006500EA"/>
    <w:rsid w:val="00650CC1"/>
    <w:rsid w:val="00650DD5"/>
    <w:rsid w:val="00650FE7"/>
    <w:rsid w:val="00651257"/>
    <w:rsid w:val="006513EA"/>
    <w:rsid w:val="00651AA0"/>
    <w:rsid w:val="006520DE"/>
    <w:rsid w:val="00652E84"/>
    <w:rsid w:val="00654254"/>
    <w:rsid w:val="006542E6"/>
    <w:rsid w:val="006544E2"/>
    <w:rsid w:val="00654938"/>
    <w:rsid w:val="006551FE"/>
    <w:rsid w:val="00655F48"/>
    <w:rsid w:val="00655FFE"/>
    <w:rsid w:val="00656419"/>
    <w:rsid w:val="006564BD"/>
    <w:rsid w:val="00656916"/>
    <w:rsid w:val="00656D91"/>
    <w:rsid w:val="00656F76"/>
    <w:rsid w:val="0065737E"/>
    <w:rsid w:val="00657569"/>
    <w:rsid w:val="00657724"/>
    <w:rsid w:val="0066084B"/>
    <w:rsid w:val="00660AAD"/>
    <w:rsid w:val="0066177B"/>
    <w:rsid w:val="006618A4"/>
    <w:rsid w:val="00661951"/>
    <w:rsid w:val="00661F4D"/>
    <w:rsid w:val="006633E3"/>
    <w:rsid w:val="00663420"/>
    <w:rsid w:val="006637BF"/>
    <w:rsid w:val="00663852"/>
    <w:rsid w:val="00663939"/>
    <w:rsid w:val="0066437C"/>
    <w:rsid w:val="00664387"/>
    <w:rsid w:val="0066493B"/>
    <w:rsid w:val="006657FC"/>
    <w:rsid w:val="00665A20"/>
    <w:rsid w:val="00665D3F"/>
    <w:rsid w:val="00665DF1"/>
    <w:rsid w:val="00665F97"/>
    <w:rsid w:val="00666699"/>
    <w:rsid w:val="00667434"/>
    <w:rsid w:val="006677C2"/>
    <w:rsid w:val="00667D2E"/>
    <w:rsid w:val="00670294"/>
    <w:rsid w:val="00670841"/>
    <w:rsid w:val="00670B9D"/>
    <w:rsid w:val="006717BD"/>
    <w:rsid w:val="00671A37"/>
    <w:rsid w:val="0067218B"/>
    <w:rsid w:val="006724D4"/>
    <w:rsid w:val="006726C8"/>
    <w:rsid w:val="00672733"/>
    <w:rsid w:val="00672FA5"/>
    <w:rsid w:val="00673ADF"/>
    <w:rsid w:val="00673C39"/>
    <w:rsid w:val="00674BD9"/>
    <w:rsid w:val="00674D4D"/>
    <w:rsid w:val="00674F7A"/>
    <w:rsid w:val="00674FA0"/>
    <w:rsid w:val="0067510C"/>
    <w:rsid w:val="00675EB2"/>
    <w:rsid w:val="00676C97"/>
    <w:rsid w:val="00676D63"/>
    <w:rsid w:val="00677A32"/>
    <w:rsid w:val="00677BE8"/>
    <w:rsid w:val="006803C1"/>
    <w:rsid w:val="00680CB7"/>
    <w:rsid w:val="00681077"/>
    <w:rsid w:val="0068134C"/>
    <w:rsid w:val="00681529"/>
    <w:rsid w:val="00681AE9"/>
    <w:rsid w:val="00681FC8"/>
    <w:rsid w:val="00682014"/>
    <w:rsid w:val="006824D7"/>
    <w:rsid w:val="00682CE5"/>
    <w:rsid w:val="006840B1"/>
    <w:rsid w:val="00684741"/>
    <w:rsid w:val="00684765"/>
    <w:rsid w:val="0068499A"/>
    <w:rsid w:val="006851F4"/>
    <w:rsid w:val="00685700"/>
    <w:rsid w:val="00685CD9"/>
    <w:rsid w:val="00686ABF"/>
    <w:rsid w:val="006870AE"/>
    <w:rsid w:val="006875E0"/>
    <w:rsid w:val="00687719"/>
    <w:rsid w:val="00687FCE"/>
    <w:rsid w:val="006903F2"/>
    <w:rsid w:val="00690621"/>
    <w:rsid w:val="006906EC"/>
    <w:rsid w:val="006907B5"/>
    <w:rsid w:val="00690ACB"/>
    <w:rsid w:val="00690D81"/>
    <w:rsid w:val="00690F9B"/>
    <w:rsid w:val="0069113E"/>
    <w:rsid w:val="006912C2"/>
    <w:rsid w:val="0069130C"/>
    <w:rsid w:val="00691425"/>
    <w:rsid w:val="00691A40"/>
    <w:rsid w:val="00692540"/>
    <w:rsid w:val="006928DC"/>
    <w:rsid w:val="00693462"/>
    <w:rsid w:val="006938E5"/>
    <w:rsid w:val="00694309"/>
    <w:rsid w:val="006947F0"/>
    <w:rsid w:val="00694AAD"/>
    <w:rsid w:val="00694DC0"/>
    <w:rsid w:val="00694E0B"/>
    <w:rsid w:val="00695833"/>
    <w:rsid w:val="00695F5F"/>
    <w:rsid w:val="0069605A"/>
    <w:rsid w:val="006965AF"/>
    <w:rsid w:val="00696AEC"/>
    <w:rsid w:val="00696B1F"/>
    <w:rsid w:val="00696BA1"/>
    <w:rsid w:val="00697057"/>
    <w:rsid w:val="006972A3"/>
    <w:rsid w:val="00697907"/>
    <w:rsid w:val="006A0399"/>
    <w:rsid w:val="006A075F"/>
    <w:rsid w:val="006A0C9E"/>
    <w:rsid w:val="006A145D"/>
    <w:rsid w:val="006A1712"/>
    <w:rsid w:val="006A1A72"/>
    <w:rsid w:val="006A1CAF"/>
    <w:rsid w:val="006A1FFE"/>
    <w:rsid w:val="006A2073"/>
    <w:rsid w:val="006A28AA"/>
    <w:rsid w:val="006A2A12"/>
    <w:rsid w:val="006A2AB7"/>
    <w:rsid w:val="006A2F02"/>
    <w:rsid w:val="006A33E9"/>
    <w:rsid w:val="006A36C0"/>
    <w:rsid w:val="006A377F"/>
    <w:rsid w:val="006A3839"/>
    <w:rsid w:val="006A39B2"/>
    <w:rsid w:val="006A3C7D"/>
    <w:rsid w:val="006A3DBF"/>
    <w:rsid w:val="006A451A"/>
    <w:rsid w:val="006A46FA"/>
    <w:rsid w:val="006A4BEF"/>
    <w:rsid w:val="006A4D2D"/>
    <w:rsid w:val="006A4F71"/>
    <w:rsid w:val="006A503F"/>
    <w:rsid w:val="006A5326"/>
    <w:rsid w:val="006A5B81"/>
    <w:rsid w:val="006A6204"/>
    <w:rsid w:val="006A624F"/>
    <w:rsid w:val="006A637F"/>
    <w:rsid w:val="006A6458"/>
    <w:rsid w:val="006A68A0"/>
    <w:rsid w:val="006A69E1"/>
    <w:rsid w:val="006A6AC6"/>
    <w:rsid w:val="006A75E3"/>
    <w:rsid w:val="006A79D6"/>
    <w:rsid w:val="006A7B3C"/>
    <w:rsid w:val="006A7C6F"/>
    <w:rsid w:val="006B03E3"/>
    <w:rsid w:val="006B10B7"/>
    <w:rsid w:val="006B1490"/>
    <w:rsid w:val="006B1FBD"/>
    <w:rsid w:val="006B357F"/>
    <w:rsid w:val="006B38F2"/>
    <w:rsid w:val="006B405B"/>
    <w:rsid w:val="006B4C44"/>
    <w:rsid w:val="006B4CED"/>
    <w:rsid w:val="006B5538"/>
    <w:rsid w:val="006B55A0"/>
    <w:rsid w:val="006B564C"/>
    <w:rsid w:val="006B5BBF"/>
    <w:rsid w:val="006B66F2"/>
    <w:rsid w:val="006B7F49"/>
    <w:rsid w:val="006C0940"/>
    <w:rsid w:val="006C0E8E"/>
    <w:rsid w:val="006C1858"/>
    <w:rsid w:val="006C24A6"/>
    <w:rsid w:val="006C27CF"/>
    <w:rsid w:val="006C331B"/>
    <w:rsid w:val="006C3D18"/>
    <w:rsid w:val="006C3ED8"/>
    <w:rsid w:val="006C3F47"/>
    <w:rsid w:val="006C41BB"/>
    <w:rsid w:val="006C51AF"/>
    <w:rsid w:val="006C559B"/>
    <w:rsid w:val="006C6B99"/>
    <w:rsid w:val="006C6BEC"/>
    <w:rsid w:val="006C6DE4"/>
    <w:rsid w:val="006C73A9"/>
    <w:rsid w:val="006D001C"/>
    <w:rsid w:val="006D04B8"/>
    <w:rsid w:val="006D084A"/>
    <w:rsid w:val="006D1423"/>
    <w:rsid w:val="006D16EF"/>
    <w:rsid w:val="006D170A"/>
    <w:rsid w:val="006D1716"/>
    <w:rsid w:val="006D200D"/>
    <w:rsid w:val="006D20CF"/>
    <w:rsid w:val="006D2329"/>
    <w:rsid w:val="006D24B4"/>
    <w:rsid w:val="006D27E1"/>
    <w:rsid w:val="006D3531"/>
    <w:rsid w:val="006D36DD"/>
    <w:rsid w:val="006D3930"/>
    <w:rsid w:val="006D3E17"/>
    <w:rsid w:val="006D3F7E"/>
    <w:rsid w:val="006D42CA"/>
    <w:rsid w:val="006D48CA"/>
    <w:rsid w:val="006D4918"/>
    <w:rsid w:val="006D4ABB"/>
    <w:rsid w:val="006D52AB"/>
    <w:rsid w:val="006D53F2"/>
    <w:rsid w:val="006D5505"/>
    <w:rsid w:val="006D6CB3"/>
    <w:rsid w:val="006D7C53"/>
    <w:rsid w:val="006D7CB6"/>
    <w:rsid w:val="006E001E"/>
    <w:rsid w:val="006E0041"/>
    <w:rsid w:val="006E0227"/>
    <w:rsid w:val="006E0497"/>
    <w:rsid w:val="006E0790"/>
    <w:rsid w:val="006E0BF7"/>
    <w:rsid w:val="006E1717"/>
    <w:rsid w:val="006E1CB9"/>
    <w:rsid w:val="006E23CD"/>
    <w:rsid w:val="006E34B7"/>
    <w:rsid w:val="006E3A3E"/>
    <w:rsid w:val="006E3DEB"/>
    <w:rsid w:val="006E3E09"/>
    <w:rsid w:val="006E42F9"/>
    <w:rsid w:val="006E430D"/>
    <w:rsid w:val="006E4530"/>
    <w:rsid w:val="006E4CC3"/>
    <w:rsid w:val="006E5757"/>
    <w:rsid w:val="006E5DF1"/>
    <w:rsid w:val="006E628B"/>
    <w:rsid w:val="006E741B"/>
    <w:rsid w:val="006E79F3"/>
    <w:rsid w:val="006E7C97"/>
    <w:rsid w:val="006E7CC1"/>
    <w:rsid w:val="006E7DB1"/>
    <w:rsid w:val="006E7FD2"/>
    <w:rsid w:val="006F0835"/>
    <w:rsid w:val="006F0AEA"/>
    <w:rsid w:val="006F15D0"/>
    <w:rsid w:val="006F192A"/>
    <w:rsid w:val="006F2538"/>
    <w:rsid w:val="006F2607"/>
    <w:rsid w:val="006F2767"/>
    <w:rsid w:val="006F2886"/>
    <w:rsid w:val="006F3464"/>
    <w:rsid w:val="006F3683"/>
    <w:rsid w:val="006F37CF"/>
    <w:rsid w:val="006F3B08"/>
    <w:rsid w:val="006F43AF"/>
    <w:rsid w:val="006F4C74"/>
    <w:rsid w:val="006F50C7"/>
    <w:rsid w:val="006F578A"/>
    <w:rsid w:val="006F5AB4"/>
    <w:rsid w:val="006F6740"/>
    <w:rsid w:val="006F6D72"/>
    <w:rsid w:val="006F6FCA"/>
    <w:rsid w:val="006F7583"/>
    <w:rsid w:val="006F797D"/>
    <w:rsid w:val="006F7E3B"/>
    <w:rsid w:val="007000C0"/>
    <w:rsid w:val="00700D21"/>
    <w:rsid w:val="00700E6B"/>
    <w:rsid w:val="0070176A"/>
    <w:rsid w:val="00701901"/>
    <w:rsid w:val="00701B81"/>
    <w:rsid w:val="00701C37"/>
    <w:rsid w:val="00702434"/>
    <w:rsid w:val="00702BD1"/>
    <w:rsid w:val="00702FC9"/>
    <w:rsid w:val="00703659"/>
    <w:rsid w:val="00703891"/>
    <w:rsid w:val="007039C7"/>
    <w:rsid w:val="00703A2A"/>
    <w:rsid w:val="00703EBA"/>
    <w:rsid w:val="0070478D"/>
    <w:rsid w:val="00705060"/>
    <w:rsid w:val="007055E4"/>
    <w:rsid w:val="00705720"/>
    <w:rsid w:val="00706D39"/>
    <w:rsid w:val="00706D6C"/>
    <w:rsid w:val="00707007"/>
    <w:rsid w:val="0070719F"/>
    <w:rsid w:val="007075D8"/>
    <w:rsid w:val="007079F9"/>
    <w:rsid w:val="00707EBD"/>
    <w:rsid w:val="00710069"/>
    <w:rsid w:val="007102CC"/>
    <w:rsid w:val="00710ADE"/>
    <w:rsid w:val="007111DC"/>
    <w:rsid w:val="00711A8B"/>
    <w:rsid w:val="0071210B"/>
    <w:rsid w:val="0071214E"/>
    <w:rsid w:val="007125D0"/>
    <w:rsid w:val="007127D1"/>
    <w:rsid w:val="00712C5A"/>
    <w:rsid w:val="00713132"/>
    <w:rsid w:val="00714A50"/>
    <w:rsid w:val="00714B85"/>
    <w:rsid w:val="0071554E"/>
    <w:rsid w:val="00715CD6"/>
    <w:rsid w:val="00715FAD"/>
    <w:rsid w:val="0071673D"/>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CFD"/>
    <w:rsid w:val="00724362"/>
    <w:rsid w:val="007248DC"/>
    <w:rsid w:val="00724EE3"/>
    <w:rsid w:val="00724F0D"/>
    <w:rsid w:val="00724F35"/>
    <w:rsid w:val="007254A1"/>
    <w:rsid w:val="00725AAB"/>
    <w:rsid w:val="0072610C"/>
    <w:rsid w:val="0072649C"/>
    <w:rsid w:val="0072650C"/>
    <w:rsid w:val="00726D8A"/>
    <w:rsid w:val="0072729F"/>
    <w:rsid w:val="007275C6"/>
    <w:rsid w:val="0072777C"/>
    <w:rsid w:val="0072794C"/>
    <w:rsid w:val="00727959"/>
    <w:rsid w:val="00727BCF"/>
    <w:rsid w:val="00727F7F"/>
    <w:rsid w:val="007302D7"/>
    <w:rsid w:val="007303BC"/>
    <w:rsid w:val="007319EA"/>
    <w:rsid w:val="00731D6D"/>
    <w:rsid w:val="00731F70"/>
    <w:rsid w:val="00731FC1"/>
    <w:rsid w:val="00731FE3"/>
    <w:rsid w:val="0073294B"/>
    <w:rsid w:val="00732D7B"/>
    <w:rsid w:val="0073339C"/>
    <w:rsid w:val="00733CEA"/>
    <w:rsid w:val="00734209"/>
    <w:rsid w:val="007342C7"/>
    <w:rsid w:val="0073514D"/>
    <w:rsid w:val="00735553"/>
    <w:rsid w:val="00735A1C"/>
    <w:rsid w:val="00735A8A"/>
    <w:rsid w:val="00735CF2"/>
    <w:rsid w:val="00735D67"/>
    <w:rsid w:val="00736AC6"/>
    <w:rsid w:val="00736FA0"/>
    <w:rsid w:val="00737324"/>
    <w:rsid w:val="007373D0"/>
    <w:rsid w:val="0073740F"/>
    <w:rsid w:val="007374BC"/>
    <w:rsid w:val="00737A75"/>
    <w:rsid w:val="0074044B"/>
    <w:rsid w:val="007408D8"/>
    <w:rsid w:val="00740B58"/>
    <w:rsid w:val="007415D8"/>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153"/>
    <w:rsid w:val="0074555E"/>
    <w:rsid w:val="00745DDD"/>
    <w:rsid w:val="007466C1"/>
    <w:rsid w:val="007466E2"/>
    <w:rsid w:val="00746737"/>
    <w:rsid w:val="00746974"/>
    <w:rsid w:val="007469B6"/>
    <w:rsid w:val="00746E8F"/>
    <w:rsid w:val="007473C5"/>
    <w:rsid w:val="00747776"/>
    <w:rsid w:val="00747FF7"/>
    <w:rsid w:val="0075000C"/>
    <w:rsid w:val="007505F6"/>
    <w:rsid w:val="007510F0"/>
    <w:rsid w:val="0075148E"/>
    <w:rsid w:val="007518F2"/>
    <w:rsid w:val="007521C3"/>
    <w:rsid w:val="007522A6"/>
    <w:rsid w:val="00752490"/>
    <w:rsid w:val="00752901"/>
    <w:rsid w:val="0075299D"/>
    <w:rsid w:val="0075447F"/>
    <w:rsid w:val="007545E8"/>
    <w:rsid w:val="00754D67"/>
    <w:rsid w:val="007550D5"/>
    <w:rsid w:val="0075533F"/>
    <w:rsid w:val="0075560D"/>
    <w:rsid w:val="0075593C"/>
    <w:rsid w:val="00755966"/>
    <w:rsid w:val="007559C5"/>
    <w:rsid w:val="00755C96"/>
    <w:rsid w:val="00755FF2"/>
    <w:rsid w:val="00756238"/>
    <w:rsid w:val="007564E1"/>
    <w:rsid w:val="00756A45"/>
    <w:rsid w:val="00756D83"/>
    <w:rsid w:val="00757962"/>
    <w:rsid w:val="00757A4E"/>
    <w:rsid w:val="00757B66"/>
    <w:rsid w:val="00757FE9"/>
    <w:rsid w:val="00757FF8"/>
    <w:rsid w:val="00760BAC"/>
    <w:rsid w:val="00760CD4"/>
    <w:rsid w:val="00760FB1"/>
    <w:rsid w:val="0076174B"/>
    <w:rsid w:val="007629F7"/>
    <w:rsid w:val="00762BB8"/>
    <w:rsid w:val="00762EE7"/>
    <w:rsid w:val="0076460B"/>
    <w:rsid w:val="00764939"/>
    <w:rsid w:val="00764A54"/>
    <w:rsid w:val="00764A6D"/>
    <w:rsid w:val="00764C78"/>
    <w:rsid w:val="00764D34"/>
    <w:rsid w:val="00764E83"/>
    <w:rsid w:val="00766E01"/>
    <w:rsid w:val="0076719E"/>
    <w:rsid w:val="00767221"/>
    <w:rsid w:val="00767558"/>
    <w:rsid w:val="00767707"/>
    <w:rsid w:val="00767A50"/>
    <w:rsid w:val="0077001C"/>
    <w:rsid w:val="007704B1"/>
    <w:rsid w:val="007707AF"/>
    <w:rsid w:val="00770AF0"/>
    <w:rsid w:val="00770B6D"/>
    <w:rsid w:val="00770EB8"/>
    <w:rsid w:val="00771103"/>
    <w:rsid w:val="007715A4"/>
    <w:rsid w:val="0077184B"/>
    <w:rsid w:val="007718E2"/>
    <w:rsid w:val="00771DE5"/>
    <w:rsid w:val="0077227C"/>
    <w:rsid w:val="007724DB"/>
    <w:rsid w:val="0077251F"/>
    <w:rsid w:val="00772A24"/>
    <w:rsid w:val="00772B2E"/>
    <w:rsid w:val="00773006"/>
    <w:rsid w:val="00773548"/>
    <w:rsid w:val="00773551"/>
    <w:rsid w:val="00773AAB"/>
    <w:rsid w:val="00773DB8"/>
    <w:rsid w:val="00774058"/>
    <w:rsid w:val="00774261"/>
    <w:rsid w:val="0077436F"/>
    <w:rsid w:val="00774739"/>
    <w:rsid w:val="0077537E"/>
    <w:rsid w:val="007757BD"/>
    <w:rsid w:val="007759DB"/>
    <w:rsid w:val="00775C54"/>
    <w:rsid w:val="00775DE5"/>
    <w:rsid w:val="00776075"/>
    <w:rsid w:val="007762A1"/>
    <w:rsid w:val="00776D21"/>
    <w:rsid w:val="00776ED8"/>
    <w:rsid w:val="007772CE"/>
    <w:rsid w:val="007776C7"/>
    <w:rsid w:val="00780391"/>
    <w:rsid w:val="00780443"/>
    <w:rsid w:val="00780EE2"/>
    <w:rsid w:val="00781B8D"/>
    <w:rsid w:val="00781E7B"/>
    <w:rsid w:val="0078206C"/>
    <w:rsid w:val="00782227"/>
    <w:rsid w:val="00782320"/>
    <w:rsid w:val="00782D41"/>
    <w:rsid w:val="007830EA"/>
    <w:rsid w:val="00783A4B"/>
    <w:rsid w:val="00783B1B"/>
    <w:rsid w:val="00784090"/>
    <w:rsid w:val="00784138"/>
    <w:rsid w:val="00785293"/>
    <w:rsid w:val="00785F2B"/>
    <w:rsid w:val="00786289"/>
    <w:rsid w:val="007866CD"/>
    <w:rsid w:val="00787BC9"/>
    <w:rsid w:val="00787BD5"/>
    <w:rsid w:val="00787F20"/>
    <w:rsid w:val="007900A3"/>
    <w:rsid w:val="007902EA"/>
    <w:rsid w:val="0079089A"/>
    <w:rsid w:val="00790ACD"/>
    <w:rsid w:val="00790C60"/>
    <w:rsid w:val="0079140A"/>
    <w:rsid w:val="00791BBE"/>
    <w:rsid w:val="00792A2D"/>
    <w:rsid w:val="00792F8E"/>
    <w:rsid w:val="007936F9"/>
    <w:rsid w:val="00794023"/>
    <w:rsid w:val="00794163"/>
    <w:rsid w:val="007944C0"/>
    <w:rsid w:val="00794619"/>
    <w:rsid w:val="007948FE"/>
    <w:rsid w:val="00794B42"/>
    <w:rsid w:val="00795344"/>
    <w:rsid w:val="00795644"/>
    <w:rsid w:val="00795CE7"/>
    <w:rsid w:val="007966AB"/>
    <w:rsid w:val="00796B5C"/>
    <w:rsid w:val="00796C15"/>
    <w:rsid w:val="00796ED9"/>
    <w:rsid w:val="00797520"/>
    <w:rsid w:val="00797FA8"/>
    <w:rsid w:val="00797FC7"/>
    <w:rsid w:val="007A0B15"/>
    <w:rsid w:val="007A0E12"/>
    <w:rsid w:val="007A0E13"/>
    <w:rsid w:val="007A1017"/>
    <w:rsid w:val="007A174B"/>
    <w:rsid w:val="007A1A14"/>
    <w:rsid w:val="007A20B6"/>
    <w:rsid w:val="007A2519"/>
    <w:rsid w:val="007A2C2C"/>
    <w:rsid w:val="007A2EC8"/>
    <w:rsid w:val="007A320A"/>
    <w:rsid w:val="007A3614"/>
    <w:rsid w:val="007A3DDA"/>
    <w:rsid w:val="007A3E61"/>
    <w:rsid w:val="007A5AF9"/>
    <w:rsid w:val="007A5D63"/>
    <w:rsid w:val="007A622F"/>
    <w:rsid w:val="007A6AC3"/>
    <w:rsid w:val="007A6C5F"/>
    <w:rsid w:val="007A7019"/>
    <w:rsid w:val="007A7481"/>
    <w:rsid w:val="007A765A"/>
    <w:rsid w:val="007A76CD"/>
    <w:rsid w:val="007A791C"/>
    <w:rsid w:val="007A79D6"/>
    <w:rsid w:val="007A7E28"/>
    <w:rsid w:val="007A7EB9"/>
    <w:rsid w:val="007B0F14"/>
    <w:rsid w:val="007B1537"/>
    <w:rsid w:val="007B1549"/>
    <w:rsid w:val="007B24C2"/>
    <w:rsid w:val="007B28BF"/>
    <w:rsid w:val="007B2AC5"/>
    <w:rsid w:val="007B2F65"/>
    <w:rsid w:val="007B2FCD"/>
    <w:rsid w:val="007B31A3"/>
    <w:rsid w:val="007B4168"/>
    <w:rsid w:val="007B4632"/>
    <w:rsid w:val="007B546F"/>
    <w:rsid w:val="007B5810"/>
    <w:rsid w:val="007B68FD"/>
    <w:rsid w:val="007B6BA6"/>
    <w:rsid w:val="007B6F00"/>
    <w:rsid w:val="007B787C"/>
    <w:rsid w:val="007C0937"/>
    <w:rsid w:val="007C1746"/>
    <w:rsid w:val="007C1CB6"/>
    <w:rsid w:val="007C1E40"/>
    <w:rsid w:val="007C1F30"/>
    <w:rsid w:val="007C21BC"/>
    <w:rsid w:val="007C2611"/>
    <w:rsid w:val="007C2660"/>
    <w:rsid w:val="007C27D1"/>
    <w:rsid w:val="007C2AC2"/>
    <w:rsid w:val="007C2AE7"/>
    <w:rsid w:val="007C377C"/>
    <w:rsid w:val="007C47E5"/>
    <w:rsid w:val="007C4FE9"/>
    <w:rsid w:val="007C521A"/>
    <w:rsid w:val="007C52D7"/>
    <w:rsid w:val="007C5B72"/>
    <w:rsid w:val="007C6233"/>
    <w:rsid w:val="007C6397"/>
    <w:rsid w:val="007C74DD"/>
    <w:rsid w:val="007C76B1"/>
    <w:rsid w:val="007C7D7A"/>
    <w:rsid w:val="007D0082"/>
    <w:rsid w:val="007D0F59"/>
    <w:rsid w:val="007D12C1"/>
    <w:rsid w:val="007D13C2"/>
    <w:rsid w:val="007D1546"/>
    <w:rsid w:val="007D17E3"/>
    <w:rsid w:val="007D1AEA"/>
    <w:rsid w:val="007D2084"/>
    <w:rsid w:val="007D3F5B"/>
    <w:rsid w:val="007D4388"/>
    <w:rsid w:val="007D4ADA"/>
    <w:rsid w:val="007D4F07"/>
    <w:rsid w:val="007D5E13"/>
    <w:rsid w:val="007D606B"/>
    <w:rsid w:val="007D632A"/>
    <w:rsid w:val="007D6369"/>
    <w:rsid w:val="007D675C"/>
    <w:rsid w:val="007D6B45"/>
    <w:rsid w:val="007D7239"/>
    <w:rsid w:val="007D7B7C"/>
    <w:rsid w:val="007D7C5D"/>
    <w:rsid w:val="007D7F3C"/>
    <w:rsid w:val="007E0893"/>
    <w:rsid w:val="007E16E4"/>
    <w:rsid w:val="007E1BDD"/>
    <w:rsid w:val="007E1C32"/>
    <w:rsid w:val="007E2210"/>
    <w:rsid w:val="007E2772"/>
    <w:rsid w:val="007E2F85"/>
    <w:rsid w:val="007E36AD"/>
    <w:rsid w:val="007E383B"/>
    <w:rsid w:val="007E3E3E"/>
    <w:rsid w:val="007E4AC7"/>
    <w:rsid w:val="007E5069"/>
    <w:rsid w:val="007E5473"/>
    <w:rsid w:val="007E5C89"/>
    <w:rsid w:val="007E5F4C"/>
    <w:rsid w:val="007E6015"/>
    <w:rsid w:val="007E679D"/>
    <w:rsid w:val="007E6840"/>
    <w:rsid w:val="007E72C9"/>
    <w:rsid w:val="007E766C"/>
    <w:rsid w:val="007E7C00"/>
    <w:rsid w:val="007F0545"/>
    <w:rsid w:val="007F07BA"/>
    <w:rsid w:val="007F0A58"/>
    <w:rsid w:val="007F0D75"/>
    <w:rsid w:val="007F26B5"/>
    <w:rsid w:val="007F26FA"/>
    <w:rsid w:val="007F373A"/>
    <w:rsid w:val="007F3ACD"/>
    <w:rsid w:val="007F3BBA"/>
    <w:rsid w:val="007F3BE1"/>
    <w:rsid w:val="007F4011"/>
    <w:rsid w:val="007F4045"/>
    <w:rsid w:val="007F423F"/>
    <w:rsid w:val="007F42EC"/>
    <w:rsid w:val="007F44DA"/>
    <w:rsid w:val="007F45DE"/>
    <w:rsid w:val="007F4A82"/>
    <w:rsid w:val="007F4B5B"/>
    <w:rsid w:val="007F58C6"/>
    <w:rsid w:val="007F58F8"/>
    <w:rsid w:val="007F59CE"/>
    <w:rsid w:val="007F5BB6"/>
    <w:rsid w:val="007F655E"/>
    <w:rsid w:val="007F6E18"/>
    <w:rsid w:val="007F746B"/>
    <w:rsid w:val="007F7A4A"/>
    <w:rsid w:val="007F7E46"/>
    <w:rsid w:val="0080004E"/>
    <w:rsid w:val="008002B7"/>
    <w:rsid w:val="00800796"/>
    <w:rsid w:val="008012EA"/>
    <w:rsid w:val="00801382"/>
    <w:rsid w:val="0080149C"/>
    <w:rsid w:val="008020EF"/>
    <w:rsid w:val="0080235B"/>
    <w:rsid w:val="00803FA0"/>
    <w:rsid w:val="00804677"/>
    <w:rsid w:val="0080484F"/>
    <w:rsid w:val="00805004"/>
    <w:rsid w:val="00805143"/>
    <w:rsid w:val="00805812"/>
    <w:rsid w:val="00805D65"/>
    <w:rsid w:val="00805E00"/>
    <w:rsid w:val="008061AC"/>
    <w:rsid w:val="008062D1"/>
    <w:rsid w:val="00806F59"/>
    <w:rsid w:val="0080726D"/>
    <w:rsid w:val="00807526"/>
    <w:rsid w:val="00807DF8"/>
    <w:rsid w:val="00807FF6"/>
    <w:rsid w:val="00810050"/>
    <w:rsid w:val="008107C1"/>
    <w:rsid w:val="00810969"/>
    <w:rsid w:val="00810AE4"/>
    <w:rsid w:val="00810EC2"/>
    <w:rsid w:val="00811229"/>
    <w:rsid w:val="008112C2"/>
    <w:rsid w:val="00811CD4"/>
    <w:rsid w:val="008121EF"/>
    <w:rsid w:val="00812F96"/>
    <w:rsid w:val="0081319A"/>
    <w:rsid w:val="0081320C"/>
    <w:rsid w:val="0081396A"/>
    <w:rsid w:val="00813B9E"/>
    <w:rsid w:val="00813CBF"/>
    <w:rsid w:val="008143C7"/>
    <w:rsid w:val="00814620"/>
    <w:rsid w:val="00814655"/>
    <w:rsid w:val="008149BE"/>
    <w:rsid w:val="00814BFA"/>
    <w:rsid w:val="00814D10"/>
    <w:rsid w:val="00815192"/>
    <w:rsid w:val="00815D57"/>
    <w:rsid w:val="00815E46"/>
    <w:rsid w:val="00816132"/>
    <w:rsid w:val="008175E2"/>
    <w:rsid w:val="00817720"/>
    <w:rsid w:val="0081778D"/>
    <w:rsid w:val="00820A80"/>
    <w:rsid w:val="00820E5E"/>
    <w:rsid w:val="00821173"/>
    <w:rsid w:val="00821BA4"/>
    <w:rsid w:val="00821FE7"/>
    <w:rsid w:val="00822086"/>
    <w:rsid w:val="008225EB"/>
    <w:rsid w:val="0082293F"/>
    <w:rsid w:val="00822EDB"/>
    <w:rsid w:val="008232ED"/>
    <w:rsid w:val="00823D5A"/>
    <w:rsid w:val="0082427C"/>
    <w:rsid w:val="0082442D"/>
    <w:rsid w:val="0082465A"/>
    <w:rsid w:val="00824821"/>
    <w:rsid w:val="00824D9B"/>
    <w:rsid w:val="0082539F"/>
    <w:rsid w:val="008258BA"/>
    <w:rsid w:val="00826136"/>
    <w:rsid w:val="008263AD"/>
    <w:rsid w:val="008278B8"/>
    <w:rsid w:val="00827AD2"/>
    <w:rsid w:val="00830606"/>
    <w:rsid w:val="008306C4"/>
    <w:rsid w:val="0083092C"/>
    <w:rsid w:val="00830958"/>
    <w:rsid w:val="00830DC9"/>
    <w:rsid w:val="00831241"/>
    <w:rsid w:val="00831EA7"/>
    <w:rsid w:val="00832BB1"/>
    <w:rsid w:val="00832FC6"/>
    <w:rsid w:val="0083300B"/>
    <w:rsid w:val="008334BB"/>
    <w:rsid w:val="008334F0"/>
    <w:rsid w:val="008334FA"/>
    <w:rsid w:val="0083356A"/>
    <w:rsid w:val="00833821"/>
    <w:rsid w:val="00833B35"/>
    <w:rsid w:val="00833D37"/>
    <w:rsid w:val="0083400C"/>
    <w:rsid w:val="0083574D"/>
    <w:rsid w:val="00835B59"/>
    <w:rsid w:val="00835BF9"/>
    <w:rsid w:val="00835FBA"/>
    <w:rsid w:val="00836096"/>
    <w:rsid w:val="00837142"/>
    <w:rsid w:val="00837957"/>
    <w:rsid w:val="008379DB"/>
    <w:rsid w:val="00837AE5"/>
    <w:rsid w:val="008414FC"/>
    <w:rsid w:val="00841DD6"/>
    <w:rsid w:val="008430F5"/>
    <w:rsid w:val="00843A34"/>
    <w:rsid w:val="00843BAD"/>
    <w:rsid w:val="00843F12"/>
    <w:rsid w:val="008442E5"/>
    <w:rsid w:val="008454B5"/>
    <w:rsid w:val="00845692"/>
    <w:rsid w:val="008456EB"/>
    <w:rsid w:val="008458A1"/>
    <w:rsid w:val="008459EA"/>
    <w:rsid w:val="0084636B"/>
    <w:rsid w:val="00846779"/>
    <w:rsid w:val="008471C9"/>
    <w:rsid w:val="00847567"/>
    <w:rsid w:val="00847832"/>
    <w:rsid w:val="00847A1F"/>
    <w:rsid w:val="00850474"/>
    <w:rsid w:val="00850641"/>
    <w:rsid w:val="00850B20"/>
    <w:rsid w:val="00851348"/>
    <w:rsid w:val="008519F7"/>
    <w:rsid w:val="00852B56"/>
    <w:rsid w:val="008536D1"/>
    <w:rsid w:val="00853BFE"/>
    <w:rsid w:val="0085405C"/>
    <w:rsid w:val="008541E7"/>
    <w:rsid w:val="00854599"/>
    <w:rsid w:val="00854627"/>
    <w:rsid w:val="00854A70"/>
    <w:rsid w:val="00854C1F"/>
    <w:rsid w:val="00854DBF"/>
    <w:rsid w:val="0085572B"/>
    <w:rsid w:val="00855962"/>
    <w:rsid w:val="00855B5C"/>
    <w:rsid w:val="00855FC9"/>
    <w:rsid w:val="00856002"/>
    <w:rsid w:val="00856108"/>
    <w:rsid w:val="0085635D"/>
    <w:rsid w:val="0085676C"/>
    <w:rsid w:val="0085697D"/>
    <w:rsid w:val="00857B60"/>
    <w:rsid w:val="00857D02"/>
    <w:rsid w:val="00857E65"/>
    <w:rsid w:val="008605C5"/>
    <w:rsid w:val="00860A5F"/>
    <w:rsid w:val="00860B90"/>
    <w:rsid w:val="00860C4A"/>
    <w:rsid w:val="00861114"/>
    <w:rsid w:val="00861197"/>
    <w:rsid w:val="00861805"/>
    <w:rsid w:val="008624EA"/>
    <w:rsid w:val="00862AD8"/>
    <w:rsid w:val="00862D15"/>
    <w:rsid w:val="00862F5D"/>
    <w:rsid w:val="008635AC"/>
    <w:rsid w:val="00863750"/>
    <w:rsid w:val="008637D9"/>
    <w:rsid w:val="00863A68"/>
    <w:rsid w:val="0086411C"/>
    <w:rsid w:val="00864B69"/>
    <w:rsid w:val="00864CF3"/>
    <w:rsid w:val="0086515E"/>
    <w:rsid w:val="008653D0"/>
    <w:rsid w:val="0086639A"/>
    <w:rsid w:val="00866A4B"/>
    <w:rsid w:val="00866C0C"/>
    <w:rsid w:val="00867491"/>
    <w:rsid w:val="00867BD8"/>
    <w:rsid w:val="00867C69"/>
    <w:rsid w:val="0087109B"/>
    <w:rsid w:val="008724C4"/>
    <w:rsid w:val="0087298D"/>
    <w:rsid w:val="00873D5A"/>
    <w:rsid w:val="00874C1B"/>
    <w:rsid w:val="00874F8B"/>
    <w:rsid w:val="008750F3"/>
    <w:rsid w:val="00875538"/>
    <w:rsid w:val="00875D1B"/>
    <w:rsid w:val="00875F3F"/>
    <w:rsid w:val="00876218"/>
    <w:rsid w:val="0087622F"/>
    <w:rsid w:val="0087624A"/>
    <w:rsid w:val="0087630D"/>
    <w:rsid w:val="00876929"/>
    <w:rsid w:val="00876A20"/>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39AD"/>
    <w:rsid w:val="00884326"/>
    <w:rsid w:val="008844C4"/>
    <w:rsid w:val="00884CC1"/>
    <w:rsid w:val="00885C1C"/>
    <w:rsid w:val="00885EC1"/>
    <w:rsid w:val="0088617D"/>
    <w:rsid w:val="008861B0"/>
    <w:rsid w:val="008866E3"/>
    <w:rsid w:val="00886F21"/>
    <w:rsid w:val="0088718B"/>
    <w:rsid w:val="00887238"/>
    <w:rsid w:val="00887E73"/>
    <w:rsid w:val="00887EA4"/>
    <w:rsid w:val="00890E84"/>
    <w:rsid w:val="008917BD"/>
    <w:rsid w:val="00891A49"/>
    <w:rsid w:val="00892214"/>
    <w:rsid w:val="00892699"/>
    <w:rsid w:val="0089269E"/>
    <w:rsid w:val="008927C1"/>
    <w:rsid w:val="0089289F"/>
    <w:rsid w:val="008939AA"/>
    <w:rsid w:val="008939F7"/>
    <w:rsid w:val="00893A64"/>
    <w:rsid w:val="00893D2A"/>
    <w:rsid w:val="00894108"/>
    <w:rsid w:val="0089489E"/>
    <w:rsid w:val="008952C7"/>
    <w:rsid w:val="008954A8"/>
    <w:rsid w:val="00895680"/>
    <w:rsid w:val="008957BE"/>
    <w:rsid w:val="008959EF"/>
    <w:rsid w:val="00895B16"/>
    <w:rsid w:val="00895C6F"/>
    <w:rsid w:val="0089668D"/>
    <w:rsid w:val="008969D2"/>
    <w:rsid w:val="00896C23"/>
    <w:rsid w:val="00896C56"/>
    <w:rsid w:val="00896C61"/>
    <w:rsid w:val="0089708E"/>
    <w:rsid w:val="008973F3"/>
    <w:rsid w:val="00897404"/>
    <w:rsid w:val="00897677"/>
    <w:rsid w:val="008977BA"/>
    <w:rsid w:val="00897A9C"/>
    <w:rsid w:val="00897F1D"/>
    <w:rsid w:val="008A0374"/>
    <w:rsid w:val="008A0E04"/>
    <w:rsid w:val="008A0F67"/>
    <w:rsid w:val="008A1D82"/>
    <w:rsid w:val="008A1E01"/>
    <w:rsid w:val="008A1FE1"/>
    <w:rsid w:val="008A27B1"/>
    <w:rsid w:val="008A295F"/>
    <w:rsid w:val="008A311B"/>
    <w:rsid w:val="008A3AFD"/>
    <w:rsid w:val="008A3B38"/>
    <w:rsid w:val="008A3E29"/>
    <w:rsid w:val="008A3EAE"/>
    <w:rsid w:val="008A3F24"/>
    <w:rsid w:val="008A40CA"/>
    <w:rsid w:val="008A46F4"/>
    <w:rsid w:val="008A53B5"/>
    <w:rsid w:val="008A5F62"/>
    <w:rsid w:val="008A747E"/>
    <w:rsid w:val="008A749E"/>
    <w:rsid w:val="008A773A"/>
    <w:rsid w:val="008A79FA"/>
    <w:rsid w:val="008A7CB5"/>
    <w:rsid w:val="008B05FD"/>
    <w:rsid w:val="008B0736"/>
    <w:rsid w:val="008B1294"/>
    <w:rsid w:val="008B157E"/>
    <w:rsid w:val="008B17EB"/>
    <w:rsid w:val="008B1940"/>
    <w:rsid w:val="008B22C9"/>
    <w:rsid w:val="008B24B5"/>
    <w:rsid w:val="008B285C"/>
    <w:rsid w:val="008B3CA3"/>
    <w:rsid w:val="008B413B"/>
    <w:rsid w:val="008B423E"/>
    <w:rsid w:val="008B46BA"/>
    <w:rsid w:val="008B4828"/>
    <w:rsid w:val="008B4A37"/>
    <w:rsid w:val="008B4EA1"/>
    <w:rsid w:val="008B4F62"/>
    <w:rsid w:val="008B52F3"/>
    <w:rsid w:val="008B5852"/>
    <w:rsid w:val="008B5B6D"/>
    <w:rsid w:val="008B6788"/>
    <w:rsid w:val="008B683C"/>
    <w:rsid w:val="008B6B2C"/>
    <w:rsid w:val="008B703F"/>
    <w:rsid w:val="008B71A3"/>
    <w:rsid w:val="008B7523"/>
    <w:rsid w:val="008C0D65"/>
    <w:rsid w:val="008C0E72"/>
    <w:rsid w:val="008C10C8"/>
    <w:rsid w:val="008C182D"/>
    <w:rsid w:val="008C1BF8"/>
    <w:rsid w:val="008C1DF0"/>
    <w:rsid w:val="008C1EE2"/>
    <w:rsid w:val="008C1F7C"/>
    <w:rsid w:val="008C1FE4"/>
    <w:rsid w:val="008C280A"/>
    <w:rsid w:val="008C288E"/>
    <w:rsid w:val="008C30C7"/>
    <w:rsid w:val="008C40D1"/>
    <w:rsid w:val="008C473D"/>
    <w:rsid w:val="008C4913"/>
    <w:rsid w:val="008C4B6F"/>
    <w:rsid w:val="008C4BE0"/>
    <w:rsid w:val="008C56F7"/>
    <w:rsid w:val="008C5CAA"/>
    <w:rsid w:val="008C5D7E"/>
    <w:rsid w:val="008C6174"/>
    <w:rsid w:val="008C621F"/>
    <w:rsid w:val="008C6DB5"/>
    <w:rsid w:val="008C7164"/>
    <w:rsid w:val="008C716E"/>
    <w:rsid w:val="008C7171"/>
    <w:rsid w:val="008C7403"/>
    <w:rsid w:val="008C7D10"/>
    <w:rsid w:val="008C7DD6"/>
    <w:rsid w:val="008D01D3"/>
    <w:rsid w:val="008D0873"/>
    <w:rsid w:val="008D0B3B"/>
    <w:rsid w:val="008D0E6D"/>
    <w:rsid w:val="008D1A36"/>
    <w:rsid w:val="008D1A72"/>
    <w:rsid w:val="008D1D6A"/>
    <w:rsid w:val="008D2354"/>
    <w:rsid w:val="008D28BD"/>
    <w:rsid w:val="008D2EE6"/>
    <w:rsid w:val="008D2F52"/>
    <w:rsid w:val="008D3914"/>
    <w:rsid w:val="008D3D9C"/>
    <w:rsid w:val="008D45DD"/>
    <w:rsid w:val="008D5323"/>
    <w:rsid w:val="008D5D0C"/>
    <w:rsid w:val="008D65C0"/>
    <w:rsid w:val="008D7EEA"/>
    <w:rsid w:val="008E04A9"/>
    <w:rsid w:val="008E0B6C"/>
    <w:rsid w:val="008E0C87"/>
    <w:rsid w:val="008E19D6"/>
    <w:rsid w:val="008E2A77"/>
    <w:rsid w:val="008E2E7F"/>
    <w:rsid w:val="008E406C"/>
    <w:rsid w:val="008E439E"/>
    <w:rsid w:val="008E47C6"/>
    <w:rsid w:val="008E480D"/>
    <w:rsid w:val="008E522E"/>
    <w:rsid w:val="008E5309"/>
    <w:rsid w:val="008E53E0"/>
    <w:rsid w:val="008E6387"/>
    <w:rsid w:val="008E6396"/>
    <w:rsid w:val="008E6D57"/>
    <w:rsid w:val="008E7161"/>
    <w:rsid w:val="008E7233"/>
    <w:rsid w:val="008E72D9"/>
    <w:rsid w:val="008E7334"/>
    <w:rsid w:val="008E7410"/>
    <w:rsid w:val="008E7902"/>
    <w:rsid w:val="008E7E26"/>
    <w:rsid w:val="008E7F96"/>
    <w:rsid w:val="008F05BC"/>
    <w:rsid w:val="008F132F"/>
    <w:rsid w:val="008F1F55"/>
    <w:rsid w:val="008F214D"/>
    <w:rsid w:val="008F2905"/>
    <w:rsid w:val="008F2ED4"/>
    <w:rsid w:val="008F304D"/>
    <w:rsid w:val="008F3D0D"/>
    <w:rsid w:val="008F3DFB"/>
    <w:rsid w:val="008F4285"/>
    <w:rsid w:val="008F438A"/>
    <w:rsid w:val="008F4AC6"/>
    <w:rsid w:val="008F4B79"/>
    <w:rsid w:val="008F52A6"/>
    <w:rsid w:val="008F5433"/>
    <w:rsid w:val="008F5DAE"/>
    <w:rsid w:val="008F66C9"/>
    <w:rsid w:val="008F792A"/>
    <w:rsid w:val="008F793D"/>
    <w:rsid w:val="008F7C72"/>
    <w:rsid w:val="009013FD"/>
    <w:rsid w:val="0090177C"/>
    <w:rsid w:val="0090217A"/>
    <w:rsid w:val="009028AE"/>
    <w:rsid w:val="00902963"/>
    <w:rsid w:val="00902D2C"/>
    <w:rsid w:val="00902F09"/>
    <w:rsid w:val="00903068"/>
    <w:rsid w:val="0090337B"/>
    <w:rsid w:val="00903A97"/>
    <w:rsid w:val="00903D02"/>
    <w:rsid w:val="00903D0C"/>
    <w:rsid w:val="00903DD3"/>
    <w:rsid w:val="00903EE0"/>
    <w:rsid w:val="00904573"/>
    <w:rsid w:val="009048CB"/>
    <w:rsid w:val="00904BA6"/>
    <w:rsid w:val="00904C56"/>
    <w:rsid w:val="00904D49"/>
    <w:rsid w:val="00905653"/>
    <w:rsid w:val="00905AB9"/>
    <w:rsid w:val="0090624D"/>
    <w:rsid w:val="00906A9A"/>
    <w:rsid w:val="00906B4C"/>
    <w:rsid w:val="00906ECE"/>
    <w:rsid w:val="009070E0"/>
    <w:rsid w:val="00907487"/>
    <w:rsid w:val="009075C1"/>
    <w:rsid w:val="00907734"/>
    <w:rsid w:val="00910973"/>
    <w:rsid w:val="00910E21"/>
    <w:rsid w:val="00911191"/>
    <w:rsid w:val="00911240"/>
    <w:rsid w:val="00911D02"/>
    <w:rsid w:val="00912646"/>
    <w:rsid w:val="009129C0"/>
    <w:rsid w:val="00913116"/>
    <w:rsid w:val="0091339A"/>
    <w:rsid w:val="009136DD"/>
    <w:rsid w:val="009137AC"/>
    <w:rsid w:val="00913C5F"/>
    <w:rsid w:val="0091477F"/>
    <w:rsid w:val="00915011"/>
    <w:rsid w:val="0091557D"/>
    <w:rsid w:val="009158E9"/>
    <w:rsid w:val="009161D2"/>
    <w:rsid w:val="00916347"/>
    <w:rsid w:val="00917C56"/>
    <w:rsid w:val="009201E0"/>
    <w:rsid w:val="009203E2"/>
    <w:rsid w:val="0092040A"/>
    <w:rsid w:val="00920B37"/>
    <w:rsid w:val="00920E12"/>
    <w:rsid w:val="009217A6"/>
    <w:rsid w:val="00921865"/>
    <w:rsid w:val="00921BD1"/>
    <w:rsid w:val="00922022"/>
    <w:rsid w:val="0092260A"/>
    <w:rsid w:val="00922779"/>
    <w:rsid w:val="00922794"/>
    <w:rsid w:val="00922830"/>
    <w:rsid w:val="0092326F"/>
    <w:rsid w:val="00923437"/>
    <w:rsid w:val="00923A93"/>
    <w:rsid w:val="0092497C"/>
    <w:rsid w:val="00925FD3"/>
    <w:rsid w:val="0092603E"/>
    <w:rsid w:val="0092633F"/>
    <w:rsid w:val="009266EE"/>
    <w:rsid w:val="009267EE"/>
    <w:rsid w:val="0092681A"/>
    <w:rsid w:val="00926A4E"/>
    <w:rsid w:val="00927193"/>
    <w:rsid w:val="009300A9"/>
    <w:rsid w:val="009300D4"/>
    <w:rsid w:val="00930873"/>
    <w:rsid w:val="00930B68"/>
    <w:rsid w:val="00930B75"/>
    <w:rsid w:val="00930BC3"/>
    <w:rsid w:val="00931BD0"/>
    <w:rsid w:val="00931E4A"/>
    <w:rsid w:val="00931FA9"/>
    <w:rsid w:val="00932601"/>
    <w:rsid w:val="009329E9"/>
    <w:rsid w:val="0093326B"/>
    <w:rsid w:val="0093360C"/>
    <w:rsid w:val="0093361A"/>
    <w:rsid w:val="009338D4"/>
    <w:rsid w:val="00933901"/>
    <w:rsid w:val="00933BC7"/>
    <w:rsid w:val="00933D70"/>
    <w:rsid w:val="00933DFA"/>
    <w:rsid w:val="00933F3E"/>
    <w:rsid w:val="00934060"/>
    <w:rsid w:val="0093495A"/>
    <w:rsid w:val="00935E29"/>
    <w:rsid w:val="00935EB4"/>
    <w:rsid w:val="00935F7F"/>
    <w:rsid w:val="0093656D"/>
    <w:rsid w:val="009366B6"/>
    <w:rsid w:val="00936838"/>
    <w:rsid w:val="00936EA9"/>
    <w:rsid w:val="0093764E"/>
    <w:rsid w:val="0094056A"/>
    <w:rsid w:val="00940BEE"/>
    <w:rsid w:val="00940D42"/>
    <w:rsid w:val="00940F8E"/>
    <w:rsid w:val="009410F3"/>
    <w:rsid w:val="0094196F"/>
    <w:rsid w:val="00941A77"/>
    <w:rsid w:val="009421AA"/>
    <w:rsid w:val="00943011"/>
    <w:rsid w:val="0094326D"/>
    <w:rsid w:val="009432A0"/>
    <w:rsid w:val="0094384B"/>
    <w:rsid w:val="009438B3"/>
    <w:rsid w:val="00944C66"/>
    <w:rsid w:val="00944FB9"/>
    <w:rsid w:val="00945D0A"/>
    <w:rsid w:val="00945E6A"/>
    <w:rsid w:val="0094665B"/>
    <w:rsid w:val="009466BF"/>
    <w:rsid w:val="00947325"/>
    <w:rsid w:val="009477F0"/>
    <w:rsid w:val="009478C2"/>
    <w:rsid w:val="0095002B"/>
    <w:rsid w:val="00950D1A"/>
    <w:rsid w:val="00951C74"/>
    <w:rsid w:val="00952721"/>
    <w:rsid w:val="0095276D"/>
    <w:rsid w:val="00952AC8"/>
    <w:rsid w:val="00952E01"/>
    <w:rsid w:val="009530F1"/>
    <w:rsid w:val="009533D1"/>
    <w:rsid w:val="009536EA"/>
    <w:rsid w:val="00953898"/>
    <w:rsid w:val="00953CCE"/>
    <w:rsid w:val="00954BFE"/>
    <w:rsid w:val="00954F80"/>
    <w:rsid w:val="00955804"/>
    <w:rsid w:val="009559DE"/>
    <w:rsid w:val="009567B2"/>
    <w:rsid w:val="0095692F"/>
    <w:rsid w:val="00956CED"/>
    <w:rsid w:val="009571A6"/>
    <w:rsid w:val="00957219"/>
    <w:rsid w:val="00957C6F"/>
    <w:rsid w:val="00960087"/>
    <w:rsid w:val="0096084F"/>
    <w:rsid w:val="00960E7E"/>
    <w:rsid w:val="00961483"/>
    <w:rsid w:val="00961D6F"/>
    <w:rsid w:val="00962218"/>
    <w:rsid w:val="00962D58"/>
    <w:rsid w:val="00962D6A"/>
    <w:rsid w:val="00962FBC"/>
    <w:rsid w:val="00963180"/>
    <w:rsid w:val="0096356B"/>
    <w:rsid w:val="0096367B"/>
    <w:rsid w:val="009638FC"/>
    <w:rsid w:val="00963C31"/>
    <w:rsid w:val="0096459B"/>
    <w:rsid w:val="009645F3"/>
    <w:rsid w:val="009648E1"/>
    <w:rsid w:val="00964C3B"/>
    <w:rsid w:val="00964C3C"/>
    <w:rsid w:val="00964EAC"/>
    <w:rsid w:val="00964F7B"/>
    <w:rsid w:val="009655B1"/>
    <w:rsid w:val="00965F6F"/>
    <w:rsid w:val="009660A3"/>
    <w:rsid w:val="00966F43"/>
    <w:rsid w:val="00967345"/>
    <w:rsid w:val="00967451"/>
    <w:rsid w:val="00967815"/>
    <w:rsid w:val="009678BB"/>
    <w:rsid w:val="00967A47"/>
    <w:rsid w:val="0097006F"/>
    <w:rsid w:val="009709A2"/>
    <w:rsid w:val="00970B7E"/>
    <w:rsid w:val="00971540"/>
    <w:rsid w:val="00971763"/>
    <w:rsid w:val="00971858"/>
    <w:rsid w:val="00971BE5"/>
    <w:rsid w:val="009729D1"/>
    <w:rsid w:val="00972C07"/>
    <w:rsid w:val="009732EA"/>
    <w:rsid w:val="00973308"/>
    <w:rsid w:val="00973607"/>
    <w:rsid w:val="009740F5"/>
    <w:rsid w:val="00974188"/>
    <w:rsid w:val="009749DA"/>
    <w:rsid w:val="00974FCB"/>
    <w:rsid w:val="009756A1"/>
    <w:rsid w:val="00975BCF"/>
    <w:rsid w:val="00975C81"/>
    <w:rsid w:val="009764B6"/>
    <w:rsid w:val="009766BC"/>
    <w:rsid w:val="00976DD3"/>
    <w:rsid w:val="009771AF"/>
    <w:rsid w:val="00977346"/>
    <w:rsid w:val="0097746F"/>
    <w:rsid w:val="00977680"/>
    <w:rsid w:val="00980090"/>
    <w:rsid w:val="0098163A"/>
    <w:rsid w:val="00981922"/>
    <w:rsid w:val="00982524"/>
    <w:rsid w:val="0098261F"/>
    <w:rsid w:val="00982784"/>
    <w:rsid w:val="00983238"/>
    <w:rsid w:val="009835AE"/>
    <w:rsid w:val="00983958"/>
    <w:rsid w:val="00983BFE"/>
    <w:rsid w:val="00983F4A"/>
    <w:rsid w:val="009840D0"/>
    <w:rsid w:val="009843EC"/>
    <w:rsid w:val="0098536E"/>
    <w:rsid w:val="00985670"/>
    <w:rsid w:val="00985E6C"/>
    <w:rsid w:val="00986546"/>
    <w:rsid w:val="00986715"/>
    <w:rsid w:val="00986FBC"/>
    <w:rsid w:val="0098727E"/>
    <w:rsid w:val="00987840"/>
    <w:rsid w:val="00987C57"/>
    <w:rsid w:val="009900DC"/>
    <w:rsid w:val="00990610"/>
    <w:rsid w:val="0099061F"/>
    <w:rsid w:val="00990624"/>
    <w:rsid w:val="00990716"/>
    <w:rsid w:val="00990B7A"/>
    <w:rsid w:val="00990CC8"/>
    <w:rsid w:val="0099108D"/>
    <w:rsid w:val="00991349"/>
    <w:rsid w:val="00991CB2"/>
    <w:rsid w:val="00991E9C"/>
    <w:rsid w:val="009926E7"/>
    <w:rsid w:val="009929E1"/>
    <w:rsid w:val="00993036"/>
    <w:rsid w:val="00993951"/>
    <w:rsid w:val="00993BF5"/>
    <w:rsid w:val="009940AA"/>
    <w:rsid w:val="0099524A"/>
    <w:rsid w:val="009956AF"/>
    <w:rsid w:val="009958E9"/>
    <w:rsid w:val="00995A85"/>
    <w:rsid w:val="00995AB8"/>
    <w:rsid w:val="00996573"/>
    <w:rsid w:val="00997A61"/>
    <w:rsid w:val="00997FC2"/>
    <w:rsid w:val="009A00AA"/>
    <w:rsid w:val="009A04C9"/>
    <w:rsid w:val="009A0A87"/>
    <w:rsid w:val="009A13BE"/>
    <w:rsid w:val="009A14D9"/>
    <w:rsid w:val="009A1B64"/>
    <w:rsid w:val="009A3182"/>
    <w:rsid w:val="009A3285"/>
    <w:rsid w:val="009A35A7"/>
    <w:rsid w:val="009A362F"/>
    <w:rsid w:val="009A3BEB"/>
    <w:rsid w:val="009A3C5E"/>
    <w:rsid w:val="009A3C6C"/>
    <w:rsid w:val="009A4827"/>
    <w:rsid w:val="009A4AF8"/>
    <w:rsid w:val="009A4FF9"/>
    <w:rsid w:val="009A5732"/>
    <w:rsid w:val="009A5DAD"/>
    <w:rsid w:val="009A5F09"/>
    <w:rsid w:val="009A605C"/>
    <w:rsid w:val="009A633E"/>
    <w:rsid w:val="009A63B4"/>
    <w:rsid w:val="009A6462"/>
    <w:rsid w:val="009A6EC1"/>
    <w:rsid w:val="009A7DA2"/>
    <w:rsid w:val="009B00A3"/>
    <w:rsid w:val="009B01D0"/>
    <w:rsid w:val="009B0571"/>
    <w:rsid w:val="009B0952"/>
    <w:rsid w:val="009B0ABC"/>
    <w:rsid w:val="009B1F55"/>
    <w:rsid w:val="009B2058"/>
    <w:rsid w:val="009B21FF"/>
    <w:rsid w:val="009B2CB4"/>
    <w:rsid w:val="009B3A2C"/>
    <w:rsid w:val="009B3B4D"/>
    <w:rsid w:val="009B5129"/>
    <w:rsid w:val="009B51FC"/>
    <w:rsid w:val="009B59C0"/>
    <w:rsid w:val="009B5AAD"/>
    <w:rsid w:val="009B5ACF"/>
    <w:rsid w:val="009B5AFD"/>
    <w:rsid w:val="009B5E16"/>
    <w:rsid w:val="009B63E9"/>
    <w:rsid w:val="009B663A"/>
    <w:rsid w:val="009B68D9"/>
    <w:rsid w:val="009B7580"/>
    <w:rsid w:val="009B79C0"/>
    <w:rsid w:val="009B7CE6"/>
    <w:rsid w:val="009B7F1E"/>
    <w:rsid w:val="009B7F89"/>
    <w:rsid w:val="009C0056"/>
    <w:rsid w:val="009C07FB"/>
    <w:rsid w:val="009C0BEE"/>
    <w:rsid w:val="009C0DB0"/>
    <w:rsid w:val="009C12A3"/>
    <w:rsid w:val="009C160C"/>
    <w:rsid w:val="009C170F"/>
    <w:rsid w:val="009C18C5"/>
    <w:rsid w:val="009C1937"/>
    <w:rsid w:val="009C19BF"/>
    <w:rsid w:val="009C1ACE"/>
    <w:rsid w:val="009C1D9F"/>
    <w:rsid w:val="009C21CC"/>
    <w:rsid w:val="009C22B4"/>
    <w:rsid w:val="009C24FA"/>
    <w:rsid w:val="009C257C"/>
    <w:rsid w:val="009C2665"/>
    <w:rsid w:val="009C26A8"/>
    <w:rsid w:val="009C32C6"/>
    <w:rsid w:val="009C4901"/>
    <w:rsid w:val="009C4A9F"/>
    <w:rsid w:val="009C4B1C"/>
    <w:rsid w:val="009C4C25"/>
    <w:rsid w:val="009C4E33"/>
    <w:rsid w:val="009C521B"/>
    <w:rsid w:val="009C5872"/>
    <w:rsid w:val="009D0A9D"/>
    <w:rsid w:val="009D0F82"/>
    <w:rsid w:val="009D1933"/>
    <w:rsid w:val="009D2325"/>
    <w:rsid w:val="009D4190"/>
    <w:rsid w:val="009D4746"/>
    <w:rsid w:val="009D4A32"/>
    <w:rsid w:val="009D4D1D"/>
    <w:rsid w:val="009D4F6C"/>
    <w:rsid w:val="009D56F0"/>
    <w:rsid w:val="009D5DE3"/>
    <w:rsid w:val="009D622B"/>
    <w:rsid w:val="009D687E"/>
    <w:rsid w:val="009D6E00"/>
    <w:rsid w:val="009D6E6F"/>
    <w:rsid w:val="009D7CB4"/>
    <w:rsid w:val="009D7CC6"/>
    <w:rsid w:val="009E030C"/>
    <w:rsid w:val="009E0CCC"/>
    <w:rsid w:val="009E0E38"/>
    <w:rsid w:val="009E1295"/>
    <w:rsid w:val="009E1800"/>
    <w:rsid w:val="009E1908"/>
    <w:rsid w:val="009E19CE"/>
    <w:rsid w:val="009E1D96"/>
    <w:rsid w:val="009E31BC"/>
    <w:rsid w:val="009E3651"/>
    <w:rsid w:val="009E37BC"/>
    <w:rsid w:val="009E3BEC"/>
    <w:rsid w:val="009E3E4E"/>
    <w:rsid w:val="009E411A"/>
    <w:rsid w:val="009E47EC"/>
    <w:rsid w:val="009E4B79"/>
    <w:rsid w:val="009E4DDF"/>
    <w:rsid w:val="009E53F4"/>
    <w:rsid w:val="009E5724"/>
    <w:rsid w:val="009E5B60"/>
    <w:rsid w:val="009E5C46"/>
    <w:rsid w:val="009E6937"/>
    <w:rsid w:val="009E6FAD"/>
    <w:rsid w:val="009E70CE"/>
    <w:rsid w:val="009E7748"/>
    <w:rsid w:val="009E78F8"/>
    <w:rsid w:val="009E7B85"/>
    <w:rsid w:val="009E7D5E"/>
    <w:rsid w:val="009F0132"/>
    <w:rsid w:val="009F01E9"/>
    <w:rsid w:val="009F04CC"/>
    <w:rsid w:val="009F09D1"/>
    <w:rsid w:val="009F0AD3"/>
    <w:rsid w:val="009F0FF0"/>
    <w:rsid w:val="009F1472"/>
    <w:rsid w:val="009F18BA"/>
    <w:rsid w:val="009F1CBB"/>
    <w:rsid w:val="009F22BA"/>
    <w:rsid w:val="009F2472"/>
    <w:rsid w:val="009F24C2"/>
    <w:rsid w:val="009F2A01"/>
    <w:rsid w:val="009F2DD1"/>
    <w:rsid w:val="009F356D"/>
    <w:rsid w:val="009F3F08"/>
    <w:rsid w:val="009F48C7"/>
    <w:rsid w:val="009F4CE1"/>
    <w:rsid w:val="009F530B"/>
    <w:rsid w:val="009F5A6F"/>
    <w:rsid w:val="009F5EB5"/>
    <w:rsid w:val="009F6AC9"/>
    <w:rsid w:val="009F794D"/>
    <w:rsid w:val="00A0095B"/>
    <w:rsid w:val="00A00B55"/>
    <w:rsid w:val="00A015B5"/>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1282"/>
    <w:rsid w:val="00A1156D"/>
    <w:rsid w:val="00A11972"/>
    <w:rsid w:val="00A11B82"/>
    <w:rsid w:val="00A11D5F"/>
    <w:rsid w:val="00A11F36"/>
    <w:rsid w:val="00A122D3"/>
    <w:rsid w:val="00A127E9"/>
    <w:rsid w:val="00A132CA"/>
    <w:rsid w:val="00A137F8"/>
    <w:rsid w:val="00A1396D"/>
    <w:rsid w:val="00A13BBF"/>
    <w:rsid w:val="00A13CB7"/>
    <w:rsid w:val="00A14AB5"/>
    <w:rsid w:val="00A14CC9"/>
    <w:rsid w:val="00A14F58"/>
    <w:rsid w:val="00A155F9"/>
    <w:rsid w:val="00A15974"/>
    <w:rsid w:val="00A15C15"/>
    <w:rsid w:val="00A15D67"/>
    <w:rsid w:val="00A15DF7"/>
    <w:rsid w:val="00A16476"/>
    <w:rsid w:val="00A16CD9"/>
    <w:rsid w:val="00A16D0A"/>
    <w:rsid w:val="00A16E8D"/>
    <w:rsid w:val="00A175C5"/>
    <w:rsid w:val="00A1769D"/>
    <w:rsid w:val="00A1794F"/>
    <w:rsid w:val="00A20030"/>
    <w:rsid w:val="00A200CC"/>
    <w:rsid w:val="00A201B1"/>
    <w:rsid w:val="00A206E9"/>
    <w:rsid w:val="00A2083F"/>
    <w:rsid w:val="00A21165"/>
    <w:rsid w:val="00A21471"/>
    <w:rsid w:val="00A21B50"/>
    <w:rsid w:val="00A23000"/>
    <w:rsid w:val="00A234B8"/>
    <w:rsid w:val="00A24C24"/>
    <w:rsid w:val="00A24E18"/>
    <w:rsid w:val="00A252C9"/>
    <w:rsid w:val="00A2568D"/>
    <w:rsid w:val="00A25A6F"/>
    <w:rsid w:val="00A25E5E"/>
    <w:rsid w:val="00A2614E"/>
    <w:rsid w:val="00A263FA"/>
    <w:rsid w:val="00A266C8"/>
    <w:rsid w:val="00A266F1"/>
    <w:rsid w:val="00A2797A"/>
    <w:rsid w:val="00A27A1B"/>
    <w:rsid w:val="00A30519"/>
    <w:rsid w:val="00A309B1"/>
    <w:rsid w:val="00A309B5"/>
    <w:rsid w:val="00A312C7"/>
    <w:rsid w:val="00A313D8"/>
    <w:rsid w:val="00A31D66"/>
    <w:rsid w:val="00A31E5C"/>
    <w:rsid w:val="00A324FA"/>
    <w:rsid w:val="00A325A4"/>
    <w:rsid w:val="00A32940"/>
    <w:rsid w:val="00A32BF6"/>
    <w:rsid w:val="00A32DE3"/>
    <w:rsid w:val="00A32F1B"/>
    <w:rsid w:val="00A33026"/>
    <w:rsid w:val="00A331F5"/>
    <w:rsid w:val="00A33325"/>
    <w:rsid w:val="00A33607"/>
    <w:rsid w:val="00A336A5"/>
    <w:rsid w:val="00A33947"/>
    <w:rsid w:val="00A34384"/>
    <w:rsid w:val="00A3446C"/>
    <w:rsid w:val="00A34C2C"/>
    <w:rsid w:val="00A35B51"/>
    <w:rsid w:val="00A35DF9"/>
    <w:rsid w:val="00A36275"/>
    <w:rsid w:val="00A36983"/>
    <w:rsid w:val="00A36ACD"/>
    <w:rsid w:val="00A37297"/>
    <w:rsid w:val="00A37A57"/>
    <w:rsid w:val="00A37B05"/>
    <w:rsid w:val="00A37CD9"/>
    <w:rsid w:val="00A40CAB"/>
    <w:rsid w:val="00A40CFF"/>
    <w:rsid w:val="00A4107E"/>
    <w:rsid w:val="00A4111F"/>
    <w:rsid w:val="00A41213"/>
    <w:rsid w:val="00A415E5"/>
    <w:rsid w:val="00A4179C"/>
    <w:rsid w:val="00A41893"/>
    <w:rsid w:val="00A41A12"/>
    <w:rsid w:val="00A41E09"/>
    <w:rsid w:val="00A4295E"/>
    <w:rsid w:val="00A42994"/>
    <w:rsid w:val="00A43072"/>
    <w:rsid w:val="00A432CC"/>
    <w:rsid w:val="00A43335"/>
    <w:rsid w:val="00A434F5"/>
    <w:rsid w:val="00A438A8"/>
    <w:rsid w:val="00A4393C"/>
    <w:rsid w:val="00A4579D"/>
    <w:rsid w:val="00A45828"/>
    <w:rsid w:val="00A45C54"/>
    <w:rsid w:val="00A46802"/>
    <w:rsid w:val="00A4691B"/>
    <w:rsid w:val="00A46A3D"/>
    <w:rsid w:val="00A46CBB"/>
    <w:rsid w:val="00A47639"/>
    <w:rsid w:val="00A477DD"/>
    <w:rsid w:val="00A47D79"/>
    <w:rsid w:val="00A47FEC"/>
    <w:rsid w:val="00A5092A"/>
    <w:rsid w:val="00A51837"/>
    <w:rsid w:val="00A51AD3"/>
    <w:rsid w:val="00A51AE7"/>
    <w:rsid w:val="00A51DBE"/>
    <w:rsid w:val="00A51DFA"/>
    <w:rsid w:val="00A52A8E"/>
    <w:rsid w:val="00A52D21"/>
    <w:rsid w:val="00A5307C"/>
    <w:rsid w:val="00A5342B"/>
    <w:rsid w:val="00A53BAA"/>
    <w:rsid w:val="00A53F03"/>
    <w:rsid w:val="00A5467A"/>
    <w:rsid w:val="00A54B32"/>
    <w:rsid w:val="00A551BE"/>
    <w:rsid w:val="00A55C76"/>
    <w:rsid w:val="00A55FB3"/>
    <w:rsid w:val="00A561A8"/>
    <w:rsid w:val="00A562ED"/>
    <w:rsid w:val="00A56371"/>
    <w:rsid w:val="00A565FA"/>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1101"/>
    <w:rsid w:val="00A61838"/>
    <w:rsid w:val="00A61D0B"/>
    <w:rsid w:val="00A61D1B"/>
    <w:rsid w:val="00A622BE"/>
    <w:rsid w:val="00A622F6"/>
    <w:rsid w:val="00A6246A"/>
    <w:rsid w:val="00A62662"/>
    <w:rsid w:val="00A62888"/>
    <w:rsid w:val="00A62948"/>
    <w:rsid w:val="00A62A6D"/>
    <w:rsid w:val="00A6306B"/>
    <w:rsid w:val="00A630CD"/>
    <w:rsid w:val="00A63150"/>
    <w:rsid w:val="00A63612"/>
    <w:rsid w:val="00A63BDE"/>
    <w:rsid w:val="00A6480F"/>
    <w:rsid w:val="00A64830"/>
    <w:rsid w:val="00A64AE3"/>
    <w:rsid w:val="00A65435"/>
    <w:rsid w:val="00A65759"/>
    <w:rsid w:val="00A657C6"/>
    <w:rsid w:val="00A658A6"/>
    <w:rsid w:val="00A659F7"/>
    <w:rsid w:val="00A662BB"/>
    <w:rsid w:val="00A66525"/>
    <w:rsid w:val="00A6773D"/>
    <w:rsid w:val="00A6795A"/>
    <w:rsid w:val="00A67A92"/>
    <w:rsid w:val="00A70457"/>
    <w:rsid w:val="00A704C4"/>
    <w:rsid w:val="00A70D38"/>
    <w:rsid w:val="00A70F33"/>
    <w:rsid w:val="00A7117A"/>
    <w:rsid w:val="00A71219"/>
    <w:rsid w:val="00A7121F"/>
    <w:rsid w:val="00A71244"/>
    <w:rsid w:val="00A718F3"/>
    <w:rsid w:val="00A72545"/>
    <w:rsid w:val="00A729A4"/>
    <w:rsid w:val="00A729F1"/>
    <w:rsid w:val="00A72CF5"/>
    <w:rsid w:val="00A72EC9"/>
    <w:rsid w:val="00A72ECB"/>
    <w:rsid w:val="00A73E0B"/>
    <w:rsid w:val="00A74239"/>
    <w:rsid w:val="00A752A7"/>
    <w:rsid w:val="00A752B5"/>
    <w:rsid w:val="00A754B6"/>
    <w:rsid w:val="00A754CE"/>
    <w:rsid w:val="00A75A10"/>
    <w:rsid w:val="00A762D9"/>
    <w:rsid w:val="00A7633A"/>
    <w:rsid w:val="00A767D7"/>
    <w:rsid w:val="00A76B6A"/>
    <w:rsid w:val="00A76D1C"/>
    <w:rsid w:val="00A76D8A"/>
    <w:rsid w:val="00A76EC8"/>
    <w:rsid w:val="00A7758E"/>
    <w:rsid w:val="00A777D7"/>
    <w:rsid w:val="00A77DE7"/>
    <w:rsid w:val="00A802A3"/>
    <w:rsid w:val="00A8150C"/>
    <w:rsid w:val="00A81756"/>
    <w:rsid w:val="00A8191F"/>
    <w:rsid w:val="00A81A8A"/>
    <w:rsid w:val="00A8201C"/>
    <w:rsid w:val="00A822CC"/>
    <w:rsid w:val="00A82488"/>
    <w:rsid w:val="00A82CC5"/>
    <w:rsid w:val="00A82F38"/>
    <w:rsid w:val="00A82F3A"/>
    <w:rsid w:val="00A8302C"/>
    <w:rsid w:val="00A8326C"/>
    <w:rsid w:val="00A83626"/>
    <w:rsid w:val="00A83C11"/>
    <w:rsid w:val="00A83ED2"/>
    <w:rsid w:val="00A85028"/>
    <w:rsid w:val="00A850FD"/>
    <w:rsid w:val="00A856CD"/>
    <w:rsid w:val="00A856FA"/>
    <w:rsid w:val="00A859A7"/>
    <w:rsid w:val="00A87849"/>
    <w:rsid w:val="00A87981"/>
    <w:rsid w:val="00A87D2F"/>
    <w:rsid w:val="00A87E00"/>
    <w:rsid w:val="00A87F33"/>
    <w:rsid w:val="00A90041"/>
    <w:rsid w:val="00A9076A"/>
    <w:rsid w:val="00A907EC"/>
    <w:rsid w:val="00A91877"/>
    <w:rsid w:val="00A91DFB"/>
    <w:rsid w:val="00A9225D"/>
    <w:rsid w:val="00A9232D"/>
    <w:rsid w:val="00A925C2"/>
    <w:rsid w:val="00A93760"/>
    <w:rsid w:val="00A937BC"/>
    <w:rsid w:val="00A9389F"/>
    <w:rsid w:val="00A93D84"/>
    <w:rsid w:val="00A93ED5"/>
    <w:rsid w:val="00A9429A"/>
    <w:rsid w:val="00A9486D"/>
    <w:rsid w:val="00A94B7F"/>
    <w:rsid w:val="00A954C3"/>
    <w:rsid w:val="00A96119"/>
    <w:rsid w:val="00A96723"/>
    <w:rsid w:val="00A96CB6"/>
    <w:rsid w:val="00A97738"/>
    <w:rsid w:val="00A97818"/>
    <w:rsid w:val="00A97BC7"/>
    <w:rsid w:val="00A97C59"/>
    <w:rsid w:val="00A97EA8"/>
    <w:rsid w:val="00AA07C2"/>
    <w:rsid w:val="00AA0A6B"/>
    <w:rsid w:val="00AA0B97"/>
    <w:rsid w:val="00AA1352"/>
    <w:rsid w:val="00AA1550"/>
    <w:rsid w:val="00AA1F8F"/>
    <w:rsid w:val="00AA2003"/>
    <w:rsid w:val="00AA209B"/>
    <w:rsid w:val="00AA2442"/>
    <w:rsid w:val="00AA26D4"/>
    <w:rsid w:val="00AA2CAC"/>
    <w:rsid w:val="00AA2F8F"/>
    <w:rsid w:val="00AA340A"/>
    <w:rsid w:val="00AA36B8"/>
    <w:rsid w:val="00AA3BAC"/>
    <w:rsid w:val="00AA485B"/>
    <w:rsid w:val="00AA4FAE"/>
    <w:rsid w:val="00AA4FC3"/>
    <w:rsid w:val="00AA54F4"/>
    <w:rsid w:val="00AA568F"/>
    <w:rsid w:val="00AA58F5"/>
    <w:rsid w:val="00AA5D82"/>
    <w:rsid w:val="00AA62F5"/>
    <w:rsid w:val="00AA68C6"/>
    <w:rsid w:val="00AA6F6B"/>
    <w:rsid w:val="00AA7214"/>
    <w:rsid w:val="00AA7C36"/>
    <w:rsid w:val="00AA7F2A"/>
    <w:rsid w:val="00AB0BA1"/>
    <w:rsid w:val="00AB0FC3"/>
    <w:rsid w:val="00AB1128"/>
    <w:rsid w:val="00AB1219"/>
    <w:rsid w:val="00AB202E"/>
    <w:rsid w:val="00AB2B89"/>
    <w:rsid w:val="00AB30F8"/>
    <w:rsid w:val="00AB3261"/>
    <w:rsid w:val="00AB3598"/>
    <w:rsid w:val="00AB448A"/>
    <w:rsid w:val="00AB47DF"/>
    <w:rsid w:val="00AB4FA4"/>
    <w:rsid w:val="00AB5084"/>
    <w:rsid w:val="00AB6073"/>
    <w:rsid w:val="00AB642E"/>
    <w:rsid w:val="00AB65C3"/>
    <w:rsid w:val="00AB6C98"/>
    <w:rsid w:val="00AB6FC9"/>
    <w:rsid w:val="00AB74DE"/>
    <w:rsid w:val="00AB7731"/>
    <w:rsid w:val="00AC0392"/>
    <w:rsid w:val="00AC15F3"/>
    <w:rsid w:val="00AC172A"/>
    <w:rsid w:val="00AC1D3B"/>
    <w:rsid w:val="00AC1FF3"/>
    <w:rsid w:val="00AC259F"/>
    <w:rsid w:val="00AC28A9"/>
    <w:rsid w:val="00AC2DCD"/>
    <w:rsid w:val="00AC38DE"/>
    <w:rsid w:val="00AC3A5D"/>
    <w:rsid w:val="00AC3CBA"/>
    <w:rsid w:val="00AC4153"/>
    <w:rsid w:val="00AC4491"/>
    <w:rsid w:val="00AC4A11"/>
    <w:rsid w:val="00AC508F"/>
    <w:rsid w:val="00AC5C7A"/>
    <w:rsid w:val="00AC5DCE"/>
    <w:rsid w:val="00AC5E96"/>
    <w:rsid w:val="00AC5F78"/>
    <w:rsid w:val="00AC5FA3"/>
    <w:rsid w:val="00AC6622"/>
    <w:rsid w:val="00AC6667"/>
    <w:rsid w:val="00AC6744"/>
    <w:rsid w:val="00AC68EA"/>
    <w:rsid w:val="00AC6C33"/>
    <w:rsid w:val="00AC6D41"/>
    <w:rsid w:val="00AC6DD5"/>
    <w:rsid w:val="00AC6E2D"/>
    <w:rsid w:val="00AC7ECE"/>
    <w:rsid w:val="00AD0BF4"/>
    <w:rsid w:val="00AD1783"/>
    <w:rsid w:val="00AD195C"/>
    <w:rsid w:val="00AD1C47"/>
    <w:rsid w:val="00AD1C8C"/>
    <w:rsid w:val="00AD2199"/>
    <w:rsid w:val="00AD29E4"/>
    <w:rsid w:val="00AD2A87"/>
    <w:rsid w:val="00AD2CCC"/>
    <w:rsid w:val="00AD36FD"/>
    <w:rsid w:val="00AD374D"/>
    <w:rsid w:val="00AD3758"/>
    <w:rsid w:val="00AD3F0E"/>
    <w:rsid w:val="00AD406B"/>
    <w:rsid w:val="00AD4269"/>
    <w:rsid w:val="00AD4832"/>
    <w:rsid w:val="00AD4DC3"/>
    <w:rsid w:val="00AD4E06"/>
    <w:rsid w:val="00AD5A95"/>
    <w:rsid w:val="00AD5DB3"/>
    <w:rsid w:val="00AD6B3E"/>
    <w:rsid w:val="00AD6C61"/>
    <w:rsid w:val="00AD7B61"/>
    <w:rsid w:val="00AD7E7C"/>
    <w:rsid w:val="00AE03BB"/>
    <w:rsid w:val="00AE0533"/>
    <w:rsid w:val="00AE0C39"/>
    <w:rsid w:val="00AE0FD3"/>
    <w:rsid w:val="00AE17F6"/>
    <w:rsid w:val="00AE296B"/>
    <w:rsid w:val="00AE2CA0"/>
    <w:rsid w:val="00AE3232"/>
    <w:rsid w:val="00AE3753"/>
    <w:rsid w:val="00AE3899"/>
    <w:rsid w:val="00AE3A42"/>
    <w:rsid w:val="00AE3A94"/>
    <w:rsid w:val="00AE3AFA"/>
    <w:rsid w:val="00AE4014"/>
    <w:rsid w:val="00AE4B42"/>
    <w:rsid w:val="00AE4CBB"/>
    <w:rsid w:val="00AE536D"/>
    <w:rsid w:val="00AE5440"/>
    <w:rsid w:val="00AE582C"/>
    <w:rsid w:val="00AE5A65"/>
    <w:rsid w:val="00AE6E8A"/>
    <w:rsid w:val="00AE6F55"/>
    <w:rsid w:val="00AE732B"/>
    <w:rsid w:val="00AE7942"/>
    <w:rsid w:val="00AE7996"/>
    <w:rsid w:val="00AE7BC2"/>
    <w:rsid w:val="00AF0176"/>
    <w:rsid w:val="00AF0318"/>
    <w:rsid w:val="00AF042F"/>
    <w:rsid w:val="00AF0798"/>
    <w:rsid w:val="00AF07AF"/>
    <w:rsid w:val="00AF0E33"/>
    <w:rsid w:val="00AF10FE"/>
    <w:rsid w:val="00AF1188"/>
    <w:rsid w:val="00AF1219"/>
    <w:rsid w:val="00AF127F"/>
    <w:rsid w:val="00AF2158"/>
    <w:rsid w:val="00AF22EF"/>
    <w:rsid w:val="00AF29A7"/>
    <w:rsid w:val="00AF34B8"/>
    <w:rsid w:val="00AF3DB9"/>
    <w:rsid w:val="00AF3F7B"/>
    <w:rsid w:val="00AF4322"/>
    <w:rsid w:val="00AF49A6"/>
    <w:rsid w:val="00AF58BA"/>
    <w:rsid w:val="00AF5B93"/>
    <w:rsid w:val="00AF5CC9"/>
    <w:rsid w:val="00AF5D9F"/>
    <w:rsid w:val="00AF65E0"/>
    <w:rsid w:val="00AF6B13"/>
    <w:rsid w:val="00AF6E52"/>
    <w:rsid w:val="00AF70B9"/>
    <w:rsid w:val="00AF743B"/>
    <w:rsid w:val="00AF75BB"/>
    <w:rsid w:val="00B000E6"/>
    <w:rsid w:val="00B004C7"/>
    <w:rsid w:val="00B00815"/>
    <w:rsid w:val="00B00D0C"/>
    <w:rsid w:val="00B00F58"/>
    <w:rsid w:val="00B025D1"/>
    <w:rsid w:val="00B02D2A"/>
    <w:rsid w:val="00B0301B"/>
    <w:rsid w:val="00B034E8"/>
    <w:rsid w:val="00B0360A"/>
    <w:rsid w:val="00B03903"/>
    <w:rsid w:val="00B03997"/>
    <w:rsid w:val="00B039B4"/>
    <w:rsid w:val="00B041A0"/>
    <w:rsid w:val="00B04380"/>
    <w:rsid w:val="00B04AA0"/>
    <w:rsid w:val="00B0501D"/>
    <w:rsid w:val="00B05433"/>
    <w:rsid w:val="00B05B38"/>
    <w:rsid w:val="00B05D2C"/>
    <w:rsid w:val="00B07109"/>
    <w:rsid w:val="00B07243"/>
    <w:rsid w:val="00B07AC8"/>
    <w:rsid w:val="00B07B03"/>
    <w:rsid w:val="00B07E76"/>
    <w:rsid w:val="00B1022D"/>
    <w:rsid w:val="00B102AD"/>
    <w:rsid w:val="00B10C67"/>
    <w:rsid w:val="00B11063"/>
    <w:rsid w:val="00B11091"/>
    <w:rsid w:val="00B1134B"/>
    <w:rsid w:val="00B1144B"/>
    <w:rsid w:val="00B1212B"/>
    <w:rsid w:val="00B12D83"/>
    <w:rsid w:val="00B13328"/>
    <w:rsid w:val="00B13A88"/>
    <w:rsid w:val="00B13B64"/>
    <w:rsid w:val="00B13F9D"/>
    <w:rsid w:val="00B1438A"/>
    <w:rsid w:val="00B144EC"/>
    <w:rsid w:val="00B15388"/>
    <w:rsid w:val="00B154D7"/>
    <w:rsid w:val="00B1608F"/>
    <w:rsid w:val="00B160B8"/>
    <w:rsid w:val="00B164C6"/>
    <w:rsid w:val="00B166D0"/>
    <w:rsid w:val="00B168CF"/>
    <w:rsid w:val="00B16B92"/>
    <w:rsid w:val="00B176CD"/>
    <w:rsid w:val="00B17810"/>
    <w:rsid w:val="00B20B7A"/>
    <w:rsid w:val="00B20D5C"/>
    <w:rsid w:val="00B2156C"/>
    <w:rsid w:val="00B21EFC"/>
    <w:rsid w:val="00B22A7E"/>
    <w:rsid w:val="00B230CB"/>
    <w:rsid w:val="00B233A3"/>
    <w:rsid w:val="00B23B8E"/>
    <w:rsid w:val="00B23E15"/>
    <w:rsid w:val="00B2419B"/>
    <w:rsid w:val="00B241A5"/>
    <w:rsid w:val="00B24B9F"/>
    <w:rsid w:val="00B24E69"/>
    <w:rsid w:val="00B24F47"/>
    <w:rsid w:val="00B25622"/>
    <w:rsid w:val="00B25787"/>
    <w:rsid w:val="00B2671C"/>
    <w:rsid w:val="00B276A6"/>
    <w:rsid w:val="00B27F48"/>
    <w:rsid w:val="00B30414"/>
    <w:rsid w:val="00B30B5E"/>
    <w:rsid w:val="00B30EFE"/>
    <w:rsid w:val="00B31872"/>
    <w:rsid w:val="00B31927"/>
    <w:rsid w:val="00B31B88"/>
    <w:rsid w:val="00B323B8"/>
    <w:rsid w:val="00B323DA"/>
    <w:rsid w:val="00B32404"/>
    <w:rsid w:val="00B32880"/>
    <w:rsid w:val="00B32F9D"/>
    <w:rsid w:val="00B3310E"/>
    <w:rsid w:val="00B33425"/>
    <w:rsid w:val="00B33C6A"/>
    <w:rsid w:val="00B33DCC"/>
    <w:rsid w:val="00B33F10"/>
    <w:rsid w:val="00B343E7"/>
    <w:rsid w:val="00B3454D"/>
    <w:rsid w:val="00B348AC"/>
    <w:rsid w:val="00B349EE"/>
    <w:rsid w:val="00B35421"/>
    <w:rsid w:val="00B360CE"/>
    <w:rsid w:val="00B3687B"/>
    <w:rsid w:val="00B3786A"/>
    <w:rsid w:val="00B37C61"/>
    <w:rsid w:val="00B37CE8"/>
    <w:rsid w:val="00B40082"/>
    <w:rsid w:val="00B40713"/>
    <w:rsid w:val="00B40954"/>
    <w:rsid w:val="00B40AD1"/>
    <w:rsid w:val="00B40FAD"/>
    <w:rsid w:val="00B41602"/>
    <w:rsid w:val="00B41DA2"/>
    <w:rsid w:val="00B423AD"/>
    <w:rsid w:val="00B42901"/>
    <w:rsid w:val="00B42CD6"/>
    <w:rsid w:val="00B42EB2"/>
    <w:rsid w:val="00B43186"/>
    <w:rsid w:val="00B43359"/>
    <w:rsid w:val="00B4357E"/>
    <w:rsid w:val="00B4358D"/>
    <w:rsid w:val="00B43913"/>
    <w:rsid w:val="00B43D6A"/>
    <w:rsid w:val="00B443DC"/>
    <w:rsid w:val="00B45112"/>
    <w:rsid w:val="00B459C1"/>
    <w:rsid w:val="00B45E3A"/>
    <w:rsid w:val="00B462F0"/>
    <w:rsid w:val="00B46B64"/>
    <w:rsid w:val="00B474B0"/>
    <w:rsid w:val="00B47749"/>
    <w:rsid w:val="00B47888"/>
    <w:rsid w:val="00B47FDC"/>
    <w:rsid w:val="00B50351"/>
    <w:rsid w:val="00B50995"/>
    <w:rsid w:val="00B50BF1"/>
    <w:rsid w:val="00B50D3F"/>
    <w:rsid w:val="00B510B2"/>
    <w:rsid w:val="00B51A8B"/>
    <w:rsid w:val="00B51D56"/>
    <w:rsid w:val="00B52826"/>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317"/>
    <w:rsid w:val="00B55B3A"/>
    <w:rsid w:val="00B55E2E"/>
    <w:rsid w:val="00B56071"/>
    <w:rsid w:val="00B5683F"/>
    <w:rsid w:val="00B5751A"/>
    <w:rsid w:val="00B577B4"/>
    <w:rsid w:val="00B61F00"/>
    <w:rsid w:val="00B62128"/>
    <w:rsid w:val="00B62138"/>
    <w:rsid w:val="00B626B1"/>
    <w:rsid w:val="00B62A97"/>
    <w:rsid w:val="00B62F0C"/>
    <w:rsid w:val="00B6381C"/>
    <w:rsid w:val="00B638E2"/>
    <w:rsid w:val="00B640B5"/>
    <w:rsid w:val="00B642D4"/>
    <w:rsid w:val="00B643C3"/>
    <w:rsid w:val="00B65098"/>
    <w:rsid w:val="00B657FD"/>
    <w:rsid w:val="00B65CA2"/>
    <w:rsid w:val="00B6632F"/>
    <w:rsid w:val="00B663D0"/>
    <w:rsid w:val="00B669B3"/>
    <w:rsid w:val="00B67191"/>
    <w:rsid w:val="00B67428"/>
    <w:rsid w:val="00B67832"/>
    <w:rsid w:val="00B706F3"/>
    <w:rsid w:val="00B70CB8"/>
    <w:rsid w:val="00B71CEF"/>
    <w:rsid w:val="00B72693"/>
    <w:rsid w:val="00B73719"/>
    <w:rsid w:val="00B740E2"/>
    <w:rsid w:val="00B744BC"/>
    <w:rsid w:val="00B745A3"/>
    <w:rsid w:val="00B746CC"/>
    <w:rsid w:val="00B74EEB"/>
    <w:rsid w:val="00B758E1"/>
    <w:rsid w:val="00B75EB7"/>
    <w:rsid w:val="00B762A1"/>
    <w:rsid w:val="00B76840"/>
    <w:rsid w:val="00B76B57"/>
    <w:rsid w:val="00B76CDA"/>
    <w:rsid w:val="00B76DBC"/>
    <w:rsid w:val="00B770D7"/>
    <w:rsid w:val="00B77411"/>
    <w:rsid w:val="00B77ED7"/>
    <w:rsid w:val="00B8019B"/>
    <w:rsid w:val="00B801B6"/>
    <w:rsid w:val="00B8036E"/>
    <w:rsid w:val="00B80AFA"/>
    <w:rsid w:val="00B80FF0"/>
    <w:rsid w:val="00B81177"/>
    <w:rsid w:val="00B8162A"/>
    <w:rsid w:val="00B81EFF"/>
    <w:rsid w:val="00B820DE"/>
    <w:rsid w:val="00B82910"/>
    <w:rsid w:val="00B83AEF"/>
    <w:rsid w:val="00B83B55"/>
    <w:rsid w:val="00B83EAD"/>
    <w:rsid w:val="00B84758"/>
    <w:rsid w:val="00B8484F"/>
    <w:rsid w:val="00B84B3E"/>
    <w:rsid w:val="00B850D9"/>
    <w:rsid w:val="00B85E34"/>
    <w:rsid w:val="00B86550"/>
    <w:rsid w:val="00B865EB"/>
    <w:rsid w:val="00B8671F"/>
    <w:rsid w:val="00B86994"/>
    <w:rsid w:val="00B869A8"/>
    <w:rsid w:val="00B86B65"/>
    <w:rsid w:val="00B86D53"/>
    <w:rsid w:val="00B872A0"/>
    <w:rsid w:val="00B87DE3"/>
    <w:rsid w:val="00B911E2"/>
    <w:rsid w:val="00B920F3"/>
    <w:rsid w:val="00B92918"/>
    <w:rsid w:val="00B92D46"/>
    <w:rsid w:val="00B92E71"/>
    <w:rsid w:val="00B93D19"/>
    <w:rsid w:val="00B94140"/>
    <w:rsid w:val="00B941C0"/>
    <w:rsid w:val="00B94C09"/>
    <w:rsid w:val="00B950D3"/>
    <w:rsid w:val="00B9523A"/>
    <w:rsid w:val="00B95905"/>
    <w:rsid w:val="00B95986"/>
    <w:rsid w:val="00B95C50"/>
    <w:rsid w:val="00B969EC"/>
    <w:rsid w:val="00B96C72"/>
    <w:rsid w:val="00B96E42"/>
    <w:rsid w:val="00B9705B"/>
    <w:rsid w:val="00B97289"/>
    <w:rsid w:val="00B97433"/>
    <w:rsid w:val="00B97787"/>
    <w:rsid w:val="00B97805"/>
    <w:rsid w:val="00B978A9"/>
    <w:rsid w:val="00B97B7E"/>
    <w:rsid w:val="00B97DF4"/>
    <w:rsid w:val="00BA01CC"/>
    <w:rsid w:val="00BA0A0B"/>
    <w:rsid w:val="00BA0E45"/>
    <w:rsid w:val="00BA1057"/>
    <w:rsid w:val="00BA13C3"/>
    <w:rsid w:val="00BA1A3F"/>
    <w:rsid w:val="00BA2BF6"/>
    <w:rsid w:val="00BA30D3"/>
    <w:rsid w:val="00BA3D42"/>
    <w:rsid w:val="00BA466D"/>
    <w:rsid w:val="00BA4F74"/>
    <w:rsid w:val="00BA5697"/>
    <w:rsid w:val="00BA5971"/>
    <w:rsid w:val="00BA59C2"/>
    <w:rsid w:val="00BA5BDE"/>
    <w:rsid w:val="00BA5F68"/>
    <w:rsid w:val="00BA63F4"/>
    <w:rsid w:val="00BA68F6"/>
    <w:rsid w:val="00BA705D"/>
    <w:rsid w:val="00BA70A9"/>
    <w:rsid w:val="00BA7842"/>
    <w:rsid w:val="00BB0067"/>
    <w:rsid w:val="00BB0773"/>
    <w:rsid w:val="00BB081A"/>
    <w:rsid w:val="00BB08A8"/>
    <w:rsid w:val="00BB1215"/>
    <w:rsid w:val="00BB12FC"/>
    <w:rsid w:val="00BB15AB"/>
    <w:rsid w:val="00BB162D"/>
    <w:rsid w:val="00BB1906"/>
    <w:rsid w:val="00BB2216"/>
    <w:rsid w:val="00BB244E"/>
    <w:rsid w:val="00BB2961"/>
    <w:rsid w:val="00BB2DCD"/>
    <w:rsid w:val="00BB2FA6"/>
    <w:rsid w:val="00BB31C7"/>
    <w:rsid w:val="00BB35B0"/>
    <w:rsid w:val="00BB3911"/>
    <w:rsid w:val="00BB3930"/>
    <w:rsid w:val="00BB3AD1"/>
    <w:rsid w:val="00BB3D78"/>
    <w:rsid w:val="00BB3E26"/>
    <w:rsid w:val="00BB3EBD"/>
    <w:rsid w:val="00BB43B0"/>
    <w:rsid w:val="00BB4477"/>
    <w:rsid w:val="00BB4565"/>
    <w:rsid w:val="00BB4653"/>
    <w:rsid w:val="00BB5516"/>
    <w:rsid w:val="00BB5ED7"/>
    <w:rsid w:val="00BB6801"/>
    <w:rsid w:val="00BB71D7"/>
    <w:rsid w:val="00BB7280"/>
    <w:rsid w:val="00BB7312"/>
    <w:rsid w:val="00BB7C33"/>
    <w:rsid w:val="00BC0096"/>
    <w:rsid w:val="00BC031E"/>
    <w:rsid w:val="00BC0363"/>
    <w:rsid w:val="00BC0914"/>
    <w:rsid w:val="00BC1D76"/>
    <w:rsid w:val="00BC1F69"/>
    <w:rsid w:val="00BC20D9"/>
    <w:rsid w:val="00BC2422"/>
    <w:rsid w:val="00BC2503"/>
    <w:rsid w:val="00BC290E"/>
    <w:rsid w:val="00BC2D0C"/>
    <w:rsid w:val="00BC35A2"/>
    <w:rsid w:val="00BC46CF"/>
    <w:rsid w:val="00BC47C6"/>
    <w:rsid w:val="00BC48A8"/>
    <w:rsid w:val="00BC49EF"/>
    <w:rsid w:val="00BC5AF9"/>
    <w:rsid w:val="00BC5E44"/>
    <w:rsid w:val="00BC60EF"/>
    <w:rsid w:val="00BC6763"/>
    <w:rsid w:val="00BC79D4"/>
    <w:rsid w:val="00BD075A"/>
    <w:rsid w:val="00BD09BA"/>
    <w:rsid w:val="00BD0A21"/>
    <w:rsid w:val="00BD0E7B"/>
    <w:rsid w:val="00BD0EDB"/>
    <w:rsid w:val="00BD1622"/>
    <w:rsid w:val="00BD2B35"/>
    <w:rsid w:val="00BD34C0"/>
    <w:rsid w:val="00BD354F"/>
    <w:rsid w:val="00BD35BB"/>
    <w:rsid w:val="00BD4585"/>
    <w:rsid w:val="00BD4607"/>
    <w:rsid w:val="00BD5106"/>
    <w:rsid w:val="00BD529A"/>
    <w:rsid w:val="00BD55E1"/>
    <w:rsid w:val="00BD5AEA"/>
    <w:rsid w:val="00BD5F7C"/>
    <w:rsid w:val="00BD640E"/>
    <w:rsid w:val="00BD6FC0"/>
    <w:rsid w:val="00BD7A58"/>
    <w:rsid w:val="00BD7B8A"/>
    <w:rsid w:val="00BD7C25"/>
    <w:rsid w:val="00BE0077"/>
    <w:rsid w:val="00BE05E2"/>
    <w:rsid w:val="00BE060B"/>
    <w:rsid w:val="00BE06ED"/>
    <w:rsid w:val="00BE0BA5"/>
    <w:rsid w:val="00BE0C04"/>
    <w:rsid w:val="00BE0CBF"/>
    <w:rsid w:val="00BE10BA"/>
    <w:rsid w:val="00BE19B0"/>
    <w:rsid w:val="00BE36E1"/>
    <w:rsid w:val="00BE42BE"/>
    <w:rsid w:val="00BE43C0"/>
    <w:rsid w:val="00BE44F3"/>
    <w:rsid w:val="00BE4A8B"/>
    <w:rsid w:val="00BE4B7E"/>
    <w:rsid w:val="00BE4C08"/>
    <w:rsid w:val="00BE507C"/>
    <w:rsid w:val="00BE53A5"/>
    <w:rsid w:val="00BE54D5"/>
    <w:rsid w:val="00BE57ED"/>
    <w:rsid w:val="00BE5B27"/>
    <w:rsid w:val="00BE5E09"/>
    <w:rsid w:val="00BE5E93"/>
    <w:rsid w:val="00BE62F3"/>
    <w:rsid w:val="00BE68CB"/>
    <w:rsid w:val="00BE6A77"/>
    <w:rsid w:val="00BE702F"/>
    <w:rsid w:val="00BE79A6"/>
    <w:rsid w:val="00BF01DF"/>
    <w:rsid w:val="00BF032A"/>
    <w:rsid w:val="00BF0BA8"/>
    <w:rsid w:val="00BF2E33"/>
    <w:rsid w:val="00BF2FBF"/>
    <w:rsid w:val="00BF35BC"/>
    <w:rsid w:val="00BF3B22"/>
    <w:rsid w:val="00BF4100"/>
    <w:rsid w:val="00BF4458"/>
    <w:rsid w:val="00BF486D"/>
    <w:rsid w:val="00BF48C5"/>
    <w:rsid w:val="00BF48FA"/>
    <w:rsid w:val="00BF6D60"/>
    <w:rsid w:val="00BF7377"/>
    <w:rsid w:val="00C00370"/>
    <w:rsid w:val="00C004CD"/>
    <w:rsid w:val="00C0057C"/>
    <w:rsid w:val="00C00927"/>
    <w:rsid w:val="00C00DA3"/>
    <w:rsid w:val="00C00DB9"/>
    <w:rsid w:val="00C00F18"/>
    <w:rsid w:val="00C00FCB"/>
    <w:rsid w:val="00C01167"/>
    <w:rsid w:val="00C01578"/>
    <w:rsid w:val="00C024C9"/>
    <w:rsid w:val="00C02696"/>
    <w:rsid w:val="00C02B62"/>
    <w:rsid w:val="00C03759"/>
    <w:rsid w:val="00C04999"/>
    <w:rsid w:val="00C04B5D"/>
    <w:rsid w:val="00C04F87"/>
    <w:rsid w:val="00C0531F"/>
    <w:rsid w:val="00C05DFF"/>
    <w:rsid w:val="00C07324"/>
    <w:rsid w:val="00C07789"/>
    <w:rsid w:val="00C07812"/>
    <w:rsid w:val="00C0787F"/>
    <w:rsid w:val="00C07A37"/>
    <w:rsid w:val="00C1093B"/>
    <w:rsid w:val="00C10EA1"/>
    <w:rsid w:val="00C115D4"/>
    <w:rsid w:val="00C11607"/>
    <w:rsid w:val="00C11D3C"/>
    <w:rsid w:val="00C11E14"/>
    <w:rsid w:val="00C11FB8"/>
    <w:rsid w:val="00C12210"/>
    <w:rsid w:val="00C12DC1"/>
    <w:rsid w:val="00C13134"/>
    <w:rsid w:val="00C145BA"/>
    <w:rsid w:val="00C1531C"/>
    <w:rsid w:val="00C1542D"/>
    <w:rsid w:val="00C157C9"/>
    <w:rsid w:val="00C15964"/>
    <w:rsid w:val="00C15C21"/>
    <w:rsid w:val="00C16743"/>
    <w:rsid w:val="00C168B1"/>
    <w:rsid w:val="00C16F1C"/>
    <w:rsid w:val="00C16F6F"/>
    <w:rsid w:val="00C17125"/>
    <w:rsid w:val="00C17B7F"/>
    <w:rsid w:val="00C17CB3"/>
    <w:rsid w:val="00C20188"/>
    <w:rsid w:val="00C203F4"/>
    <w:rsid w:val="00C208E1"/>
    <w:rsid w:val="00C20E48"/>
    <w:rsid w:val="00C211B9"/>
    <w:rsid w:val="00C21247"/>
    <w:rsid w:val="00C213A2"/>
    <w:rsid w:val="00C2140F"/>
    <w:rsid w:val="00C21772"/>
    <w:rsid w:val="00C21972"/>
    <w:rsid w:val="00C21BCB"/>
    <w:rsid w:val="00C222EF"/>
    <w:rsid w:val="00C226C7"/>
    <w:rsid w:val="00C23287"/>
    <w:rsid w:val="00C2388A"/>
    <w:rsid w:val="00C24116"/>
    <w:rsid w:val="00C24A80"/>
    <w:rsid w:val="00C24B57"/>
    <w:rsid w:val="00C24EF5"/>
    <w:rsid w:val="00C258B1"/>
    <w:rsid w:val="00C2657B"/>
    <w:rsid w:val="00C266A8"/>
    <w:rsid w:val="00C26A79"/>
    <w:rsid w:val="00C272D4"/>
    <w:rsid w:val="00C2737B"/>
    <w:rsid w:val="00C274CE"/>
    <w:rsid w:val="00C2796B"/>
    <w:rsid w:val="00C3000D"/>
    <w:rsid w:val="00C30514"/>
    <w:rsid w:val="00C30783"/>
    <w:rsid w:val="00C31E81"/>
    <w:rsid w:val="00C31F32"/>
    <w:rsid w:val="00C320B6"/>
    <w:rsid w:val="00C3210E"/>
    <w:rsid w:val="00C32B13"/>
    <w:rsid w:val="00C32D74"/>
    <w:rsid w:val="00C33C03"/>
    <w:rsid w:val="00C34562"/>
    <w:rsid w:val="00C352DE"/>
    <w:rsid w:val="00C35712"/>
    <w:rsid w:val="00C359A9"/>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3037"/>
    <w:rsid w:val="00C43461"/>
    <w:rsid w:val="00C43B71"/>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098E"/>
    <w:rsid w:val="00C514BC"/>
    <w:rsid w:val="00C51D3E"/>
    <w:rsid w:val="00C51F50"/>
    <w:rsid w:val="00C52CA6"/>
    <w:rsid w:val="00C52EB1"/>
    <w:rsid w:val="00C54CE2"/>
    <w:rsid w:val="00C54EA0"/>
    <w:rsid w:val="00C55272"/>
    <w:rsid w:val="00C554BD"/>
    <w:rsid w:val="00C562E1"/>
    <w:rsid w:val="00C56E31"/>
    <w:rsid w:val="00C5725B"/>
    <w:rsid w:val="00C573BA"/>
    <w:rsid w:val="00C577EA"/>
    <w:rsid w:val="00C57958"/>
    <w:rsid w:val="00C57A8B"/>
    <w:rsid w:val="00C57B09"/>
    <w:rsid w:val="00C602F7"/>
    <w:rsid w:val="00C60335"/>
    <w:rsid w:val="00C605C4"/>
    <w:rsid w:val="00C606AC"/>
    <w:rsid w:val="00C607D9"/>
    <w:rsid w:val="00C609FF"/>
    <w:rsid w:val="00C60A1C"/>
    <w:rsid w:val="00C6111E"/>
    <w:rsid w:val="00C6158E"/>
    <w:rsid w:val="00C61792"/>
    <w:rsid w:val="00C6194C"/>
    <w:rsid w:val="00C61EDD"/>
    <w:rsid w:val="00C6225C"/>
    <w:rsid w:val="00C63E9B"/>
    <w:rsid w:val="00C65023"/>
    <w:rsid w:val="00C65406"/>
    <w:rsid w:val="00C655FF"/>
    <w:rsid w:val="00C65BA6"/>
    <w:rsid w:val="00C65CFC"/>
    <w:rsid w:val="00C662EF"/>
    <w:rsid w:val="00C664B1"/>
    <w:rsid w:val="00C66753"/>
    <w:rsid w:val="00C66D44"/>
    <w:rsid w:val="00C673BD"/>
    <w:rsid w:val="00C679CE"/>
    <w:rsid w:val="00C67B70"/>
    <w:rsid w:val="00C67D68"/>
    <w:rsid w:val="00C67EE4"/>
    <w:rsid w:val="00C70130"/>
    <w:rsid w:val="00C70202"/>
    <w:rsid w:val="00C70986"/>
    <w:rsid w:val="00C7258B"/>
    <w:rsid w:val="00C7293E"/>
    <w:rsid w:val="00C72CA3"/>
    <w:rsid w:val="00C730B4"/>
    <w:rsid w:val="00C734D0"/>
    <w:rsid w:val="00C74449"/>
    <w:rsid w:val="00C74641"/>
    <w:rsid w:val="00C74A06"/>
    <w:rsid w:val="00C74ECF"/>
    <w:rsid w:val="00C757FD"/>
    <w:rsid w:val="00C75AC6"/>
    <w:rsid w:val="00C76A03"/>
    <w:rsid w:val="00C77731"/>
    <w:rsid w:val="00C800A7"/>
    <w:rsid w:val="00C8061A"/>
    <w:rsid w:val="00C80683"/>
    <w:rsid w:val="00C80A77"/>
    <w:rsid w:val="00C81824"/>
    <w:rsid w:val="00C81A5D"/>
    <w:rsid w:val="00C81E94"/>
    <w:rsid w:val="00C8215B"/>
    <w:rsid w:val="00C821A5"/>
    <w:rsid w:val="00C824BA"/>
    <w:rsid w:val="00C82771"/>
    <w:rsid w:val="00C82914"/>
    <w:rsid w:val="00C82B0B"/>
    <w:rsid w:val="00C82E5F"/>
    <w:rsid w:val="00C83180"/>
    <w:rsid w:val="00C83611"/>
    <w:rsid w:val="00C84138"/>
    <w:rsid w:val="00C84EDF"/>
    <w:rsid w:val="00C8516E"/>
    <w:rsid w:val="00C85B84"/>
    <w:rsid w:val="00C85CAD"/>
    <w:rsid w:val="00C86031"/>
    <w:rsid w:val="00C86069"/>
    <w:rsid w:val="00C861ED"/>
    <w:rsid w:val="00C86F27"/>
    <w:rsid w:val="00C87318"/>
    <w:rsid w:val="00C87480"/>
    <w:rsid w:val="00C8776C"/>
    <w:rsid w:val="00C87AF6"/>
    <w:rsid w:val="00C87CAA"/>
    <w:rsid w:val="00C91769"/>
    <w:rsid w:val="00C92271"/>
    <w:rsid w:val="00C9230C"/>
    <w:rsid w:val="00C929C8"/>
    <w:rsid w:val="00C9436B"/>
    <w:rsid w:val="00C947DC"/>
    <w:rsid w:val="00C94E00"/>
    <w:rsid w:val="00C95637"/>
    <w:rsid w:val="00C95DFF"/>
    <w:rsid w:val="00C96785"/>
    <w:rsid w:val="00C97627"/>
    <w:rsid w:val="00C97AD2"/>
    <w:rsid w:val="00C97B38"/>
    <w:rsid w:val="00C97CF9"/>
    <w:rsid w:val="00CA0A11"/>
    <w:rsid w:val="00CA0B6E"/>
    <w:rsid w:val="00CA1962"/>
    <w:rsid w:val="00CA1B2A"/>
    <w:rsid w:val="00CA2430"/>
    <w:rsid w:val="00CA309B"/>
    <w:rsid w:val="00CA3358"/>
    <w:rsid w:val="00CA37EF"/>
    <w:rsid w:val="00CA434D"/>
    <w:rsid w:val="00CA4678"/>
    <w:rsid w:val="00CA4F66"/>
    <w:rsid w:val="00CA512C"/>
    <w:rsid w:val="00CA54E1"/>
    <w:rsid w:val="00CA5DBE"/>
    <w:rsid w:val="00CA5F42"/>
    <w:rsid w:val="00CA61D2"/>
    <w:rsid w:val="00CA648A"/>
    <w:rsid w:val="00CA6D13"/>
    <w:rsid w:val="00CA6D3D"/>
    <w:rsid w:val="00CA6F62"/>
    <w:rsid w:val="00CA722D"/>
    <w:rsid w:val="00CA7ABD"/>
    <w:rsid w:val="00CA7BEA"/>
    <w:rsid w:val="00CA7EC6"/>
    <w:rsid w:val="00CB0105"/>
    <w:rsid w:val="00CB0922"/>
    <w:rsid w:val="00CB09B9"/>
    <w:rsid w:val="00CB1694"/>
    <w:rsid w:val="00CB1958"/>
    <w:rsid w:val="00CB19F3"/>
    <w:rsid w:val="00CB1DAB"/>
    <w:rsid w:val="00CB1F34"/>
    <w:rsid w:val="00CB2112"/>
    <w:rsid w:val="00CB28C5"/>
    <w:rsid w:val="00CB2F04"/>
    <w:rsid w:val="00CB3A6B"/>
    <w:rsid w:val="00CB3AD0"/>
    <w:rsid w:val="00CB3ADD"/>
    <w:rsid w:val="00CB3C42"/>
    <w:rsid w:val="00CB41E6"/>
    <w:rsid w:val="00CB439E"/>
    <w:rsid w:val="00CB5230"/>
    <w:rsid w:val="00CB55B0"/>
    <w:rsid w:val="00CB5761"/>
    <w:rsid w:val="00CB5852"/>
    <w:rsid w:val="00CB672C"/>
    <w:rsid w:val="00CB6821"/>
    <w:rsid w:val="00CB6C6F"/>
    <w:rsid w:val="00CB7010"/>
    <w:rsid w:val="00CB72A3"/>
    <w:rsid w:val="00CB7FB9"/>
    <w:rsid w:val="00CB7FC7"/>
    <w:rsid w:val="00CC009A"/>
    <w:rsid w:val="00CC01D6"/>
    <w:rsid w:val="00CC05E8"/>
    <w:rsid w:val="00CC091A"/>
    <w:rsid w:val="00CC09A7"/>
    <w:rsid w:val="00CC09B0"/>
    <w:rsid w:val="00CC0D12"/>
    <w:rsid w:val="00CC1299"/>
    <w:rsid w:val="00CC151B"/>
    <w:rsid w:val="00CC155A"/>
    <w:rsid w:val="00CC1712"/>
    <w:rsid w:val="00CC188A"/>
    <w:rsid w:val="00CC1962"/>
    <w:rsid w:val="00CC1C6D"/>
    <w:rsid w:val="00CC2462"/>
    <w:rsid w:val="00CC27FB"/>
    <w:rsid w:val="00CC36F6"/>
    <w:rsid w:val="00CC3CF3"/>
    <w:rsid w:val="00CC3FC5"/>
    <w:rsid w:val="00CC4C7F"/>
    <w:rsid w:val="00CC5B49"/>
    <w:rsid w:val="00CC6FF1"/>
    <w:rsid w:val="00CC700A"/>
    <w:rsid w:val="00CC705D"/>
    <w:rsid w:val="00CC72B6"/>
    <w:rsid w:val="00CC74F5"/>
    <w:rsid w:val="00CC7748"/>
    <w:rsid w:val="00CC7A08"/>
    <w:rsid w:val="00CC7D91"/>
    <w:rsid w:val="00CD030A"/>
    <w:rsid w:val="00CD0471"/>
    <w:rsid w:val="00CD09C6"/>
    <w:rsid w:val="00CD0A0F"/>
    <w:rsid w:val="00CD0D78"/>
    <w:rsid w:val="00CD30D1"/>
    <w:rsid w:val="00CD35EF"/>
    <w:rsid w:val="00CD3C5B"/>
    <w:rsid w:val="00CD3E49"/>
    <w:rsid w:val="00CD4145"/>
    <w:rsid w:val="00CD47FB"/>
    <w:rsid w:val="00CD48E0"/>
    <w:rsid w:val="00CD5504"/>
    <w:rsid w:val="00CD572D"/>
    <w:rsid w:val="00CD577A"/>
    <w:rsid w:val="00CD5D18"/>
    <w:rsid w:val="00CD5E5A"/>
    <w:rsid w:val="00CD5E8A"/>
    <w:rsid w:val="00CD6049"/>
    <w:rsid w:val="00CD6054"/>
    <w:rsid w:val="00CD6482"/>
    <w:rsid w:val="00CD6746"/>
    <w:rsid w:val="00CD785E"/>
    <w:rsid w:val="00CE00CD"/>
    <w:rsid w:val="00CE02D1"/>
    <w:rsid w:val="00CE08D3"/>
    <w:rsid w:val="00CE0A9A"/>
    <w:rsid w:val="00CE0E22"/>
    <w:rsid w:val="00CE0FC6"/>
    <w:rsid w:val="00CE1267"/>
    <w:rsid w:val="00CE1A4A"/>
    <w:rsid w:val="00CE1B77"/>
    <w:rsid w:val="00CE1E03"/>
    <w:rsid w:val="00CE3229"/>
    <w:rsid w:val="00CE33C9"/>
    <w:rsid w:val="00CE3686"/>
    <w:rsid w:val="00CE3EFA"/>
    <w:rsid w:val="00CE4518"/>
    <w:rsid w:val="00CE4779"/>
    <w:rsid w:val="00CE59FA"/>
    <w:rsid w:val="00CE5DC8"/>
    <w:rsid w:val="00CE60E7"/>
    <w:rsid w:val="00CE6330"/>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21EF"/>
    <w:rsid w:val="00CF2D97"/>
    <w:rsid w:val="00CF2EC6"/>
    <w:rsid w:val="00CF327E"/>
    <w:rsid w:val="00CF3B86"/>
    <w:rsid w:val="00CF3B97"/>
    <w:rsid w:val="00CF40B1"/>
    <w:rsid w:val="00CF5358"/>
    <w:rsid w:val="00CF57F4"/>
    <w:rsid w:val="00CF5A20"/>
    <w:rsid w:val="00CF5C48"/>
    <w:rsid w:val="00CF5E94"/>
    <w:rsid w:val="00CF6498"/>
    <w:rsid w:val="00CF654D"/>
    <w:rsid w:val="00CF6F3E"/>
    <w:rsid w:val="00CF7203"/>
    <w:rsid w:val="00D0045F"/>
    <w:rsid w:val="00D0120C"/>
    <w:rsid w:val="00D01363"/>
    <w:rsid w:val="00D01473"/>
    <w:rsid w:val="00D014F5"/>
    <w:rsid w:val="00D01AC3"/>
    <w:rsid w:val="00D01B83"/>
    <w:rsid w:val="00D01B96"/>
    <w:rsid w:val="00D01BF0"/>
    <w:rsid w:val="00D0235A"/>
    <w:rsid w:val="00D025A6"/>
    <w:rsid w:val="00D02B09"/>
    <w:rsid w:val="00D02C28"/>
    <w:rsid w:val="00D02F9D"/>
    <w:rsid w:val="00D03130"/>
    <w:rsid w:val="00D039FD"/>
    <w:rsid w:val="00D0412E"/>
    <w:rsid w:val="00D04E19"/>
    <w:rsid w:val="00D05571"/>
    <w:rsid w:val="00D05CC2"/>
    <w:rsid w:val="00D05DE4"/>
    <w:rsid w:val="00D0604F"/>
    <w:rsid w:val="00D062FB"/>
    <w:rsid w:val="00D06386"/>
    <w:rsid w:val="00D067BB"/>
    <w:rsid w:val="00D06852"/>
    <w:rsid w:val="00D0694A"/>
    <w:rsid w:val="00D06B5B"/>
    <w:rsid w:val="00D06C3B"/>
    <w:rsid w:val="00D06E70"/>
    <w:rsid w:val="00D06E98"/>
    <w:rsid w:val="00D07356"/>
    <w:rsid w:val="00D073FF"/>
    <w:rsid w:val="00D1002C"/>
    <w:rsid w:val="00D10A06"/>
    <w:rsid w:val="00D115E0"/>
    <w:rsid w:val="00D117E3"/>
    <w:rsid w:val="00D11D7F"/>
    <w:rsid w:val="00D11F92"/>
    <w:rsid w:val="00D121A3"/>
    <w:rsid w:val="00D1237F"/>
    <w:rsid w:val="00D12CD2"/>
    <w:rsid w:val="00D12FFA"/>
    <w:rsid w:val="00D13102"/>
    <w:rsid w:val="00D13744"/>
    <w:rsid w:val="00D141BD"/>
    <w:rsid w:val="00D1496A"/>
    <w:rsid w:val="00D15529"/>
    <w:rsid w:val="00D159EA"/>
    <w:rsid w:val="00D15F52"/>
    <w:rsid w:val="00D16088"/>
    <w:rsid w:val="00D16136"/>
    <w:rsid w:val="00D162F7"/>
    <w:rsid w:val="00D1713B"/>
    <w:rsid w:val="00D17540"/>
    <w:rsid w:val="00D175FD"/>
    <w:rsid w:val="00D17618"/>
    <w:rsid w:val="00D1764E"/>
    <w:rsid w:val="00D1770D"/>
    <w:rsid w:val="00D17A23"/>
    <w:rsid w:val="00D17A71"/>
    <w:rsid w:val="00D200C8"/>
    <w:rsid w:val="00D2077C"/>
    <w:rsid w:val="00D20E9D"/>
    <w:rsid w:val="00D2100B"/>
    <w:rsid w:val="00D2112B"/>
    <w:rsid w:val="00D212AF"/>
    <w:rsid w:val="00D21A76"/>
    <w:rsid w:val="00D21D42"/>
    <w:rsid w:val="00D22958"/>
    <w:rsid w:val="00D22A50"/>
    <w:rsid w:val="00D23969"/>
    <w:rsid w:val="00D23AA3"/>
    <w:rsid w:val="00D23F3D"/>
    <w:rsid w:val="00D242D9"/>
    <w:rsid w:val="00D24B65"/>
    <w:rsid w:val="00D24D7B"/>
    <w:rsid w:val="00D252ED"/>
    <w:rsid w:val="00D25DB7"/>
    <w:rsid w:val="00D26663"/>
    <w:rsid w:val="00D27C84"/>
    <w:rsid w:val="00D27C97"/>
    <w:rsid w:val="00D27FFA"/>
    <w:rsid w:val="00D30008"/>
    <w:rsid w:val="00D30825"/>
    <w:rsid w:val="00D30A4D"/>
    <w:rsid w:val="00D30A9D"/>
    <w:rsid w:val="00D30B25"/>
    <w:rsid w:val="00D30D28"/>
    <w:rsid w:val="00D317C7"/>
    <w:rsid w:val="00D3205F"/>
    <w:rsid w:val="00D32288"/>
    <w:rsid w:val="00D3257F"/>
    <w:rsid w:val="00D3277C"/>
    <w:rsid w:val="00D328AB"/>
    <w:rsid w:val="00D32B20"/>
    <w:rsid w:val="00D32B3C"/>
    <w:rsid w:val="00D32EC2"/>
    <w:rsid w:val="00D32F0F"/>
    <w:rsid w:val="00D32F9E"/>
    <w:rsid w:val="00D33139"/>
    <w:rsid w:val="00D33821"/>
    <w:rsid w:val="00D3421F"/>
    <w:rsid w:val="00D34602"/>
    <w:rsid w:val="00D34D45"/>
    <w:rsid w:val="00D35DF7"/>
    <w:rsid w:val="00D360B4"/>
    <w:rsid w:val="00D36845"/>
    <w:rsid w:val="00D36B50"/>
    <w:rsid w:val="00D36FF1"/>
    <w:rsid w:val="00D37A8E"/>
    <w:rsid w:val="00D4001F"/>
    <w:rsid w:val="00D406EB"/>
    <w:rsid w:val="00D40737"/>
    <w:rsid w:val="00D40FAF"/>
    <w:rsid w:val="00D41485"/>
    <w:rsid w:val="00D4214F"/>
    <w:rsid w:val="00D4259E"/>
    <w:rsid w:val="00D425A9"/>
    <w:rsid w:val="00D4265A"/>
    <w:rsid w:val="00D4272C"/>
    <w:rsid w:val="00D42F28"/>
    <w:rsid w:val="00D4394A"/>
    <w:rsid w:val="00D442CE"/>
    <w:rsid w:val="00D444F2"/>
    <w:rsid w:val="00D449E4"/>
    <w:rsid w:val="00D4525A"/>
    <w:rsid w:val="00D45736"/>
    <w:rsid w:val="00D45AB1"/>
    <w:rsid w:val="00D45B28"/>
    <w:rsid w:val="00D4604C"/>
    <w:rsid w:val="00D46F55"/>
    <w:rsid w:val="00D46F86"/>
    <w:rsid w:val="00D47328"/>
    <w:rsid w:val="00D50A54"/>
    <w:rsid w:val="00D5126C"/>
    <w:rsid w:val="00D51A6E"/>
    <w:rsid w:val="00D51E70"/>
    <w:rsid w:val="00D5340A"/>
    <w:rsid w:val="00D536DC"/>
    <w:rsid w:val="00D54833"/>
    <w:rsid w:val="00D54D08"/>
    <w:rsid w:val="00D5535C"/>
    <w:rsid w:val="00D5541B"/>
    <w:rsid w:val="00D5564A"/>
    <w:rsid w:val="00D55683"/>
    <w:rsid w:val="00D5740A"/>
    <w:rsid w:val="00D57547"/>
    <w:rsid w:val="00D5757A"/>
    <w:rsid w:val="00D57A15"/>
    <w:rsid w:val="00D60A11"/>
    <w:rsid w:val="00D60FF7"/>
    <w:rsid w:val="00D610C8"/>
    <w:rsid w:val="00D61D90"/>
    <w:rsid w:val="00D622B9"/>
    <w:rsid w:val="00D62C8E"/>
    <w:rsid w:val="00D6485A"/>
    <w:rsid w:val="00D6492E"/>
    <w:rsid w:val="00D64CEA"/>
    <w:rsid w:val="00D64DA8"/>
    <w:rsid w:val="00D66395"/>
    <w:rsid w:val="00D66CB7"/>
    <w:rsid w:val="00D6781E"/>
    <w:rsid w:val="00D67A31"/>
    <w:rsid w:val="00D702CB"/>
    <w:rsid w:val="00D7062A"/>
    <w:rsid w:val="00D71445"/>
    <w:rsid w:val="00D7152D"/>
    <w:rsid w:val="00D7181F"/>
    <w:rsid w:val="00D71AFE"/>
    <w:rsid w:val="00D71CE6"/>
    <w:rsid w:val="00D720F6"/>
    <w:rsid w:val="00D724D0"/>
    <w:rsid w:val="00D72656"/>
    <w:rsid w:val="00D726A3"/>
    <w:rsid w:val="00D728B5"/>
    <w:rsid w:val="00D72AAB"/>
    <w:rsid w:val="00D72C0D"/>
    <w:rsid w:val="00D73236"/>
    <w:rsid w:val="00D73885"/>
    <w:rsid w:val="00D73A1F"/>
    <w:rsid w:val="00D73E16"/>
    <w:rsid w:val="00D74437"/>
    <w:rsid w:val="00D7503B"/>
    <w:rsid w:val="00D7571F"/>
    <w:rsid w:val="00D75757"/>
    <w:rsid w:val="00D758DD"/>
    <w:rsid w:val="00D763C5"/>
    <w:rsid w:val="00D765C0"/>
    <w:rsid w:val="00D7678E"/>
    <w:rsid w:val="00D76975"/>
    <w:rsid w:val="00D76E65"/>
    <w:rsid w:val="00D77263"/>
    <w:rsid w:val="00D77305"/>
    <w:rsid w:val="00D77728"/>
    <w:rsid w:val="00D77C7E"/>
    <w:rsid w:val="00D801BE"/>
    <w:rsid w:val="00D8039A"/>
    <w:rsid w:val="00D8054E"/>
    <w:rsid w:val="00D8069E"/>
    <w:rsid w:val="00D80802"/>
    <w:rsid w:val="00D81022"/>
    <w:rsid w:val="00D8103A"/>
    <w:rsid w:val="00D81067"/>
    <w:rsid w:val="00D81242"/>
    <w:rsid w:val="00D81771"/>
    <w:rsid w:val="00D82589"/>
    <w:rsid w:val="00D8298A"/>
    <w:rsid w:val="00D837F3"/>
    <w:rsid w:val="00D83A6E"/>
    <w:rsid w:val="00D840FB"/>
    <w:rsid w:val="00D843F9"/>
    <w:rsid w:val="00D84979"/>
    <w:rsid w:val="00D84D15"/>
    <w:rsid w:val="00D851F4"/>
    <w:rsid w:val="00D85907"/>
    <w:rsid w:val="00D85DE0"/>
    <w:rsid w:val="00D85E62"/>
    <w:rsid w:val="00D85FA9"/>
    <w:rsid w:val="00D860FA"/>
    <w:rsid w:val="00D86455"/>
    <w:rsid w:val="00D864FE"/>
    <w:rsid w:val="00D866A4"/>
    <w:rsid w:val="00D86EE2"/>
    <w:rsid w:val="00D86F11"/>
    <w:rsid w:val="00D8705B"/>
    <w:rsid w:val="00D8734C"/>
    <w:rsid w:val="00D87615"/>
    <w:rsid w:val="00D87956"/>
    <w:rsid w:val="00D87BE7"/>
    <w:rsid w:val="00D902DC"/>
    <w:rsid w:val="00D90341"/>
    <w:rsid w:val="00D90531"/>
    <w:rsid w:val="00D90CFD"/>
    <w:rsid w:val="00D915BF"/>
    <w:rsid w:val="00D91754"/>
    <w:rsid w:val="00D91B68"/>
    <w:rsid w:val="00D91D11"/>
    <w:rsid w:val="00D91F32"/>
    <w:rsid w:val="00D923A9"/>
    <w:rsid w:val="00D92571"/>
    <w:rsid w:val="00D92954"/>
    <w:rsid w:val="00D929AB"/>
    <w:rsid w:val="00D92A8A"/>
    <w:rsid w:val="00D931FC"/>
    <w:rsid w:val="00D93F59"/>
    <w:rsid w:val="00D94062"/>
    <w:rsid w:val="00D9435D"/>
    <w:rsid w:val="00D9483C"/>
    <w:rsid w:val="00D95037"/>
    <w:rsid w:val="00D95419"/>
    <w:rsid w:val="00D954D5"/>
    <w:rsid w:val="00D957C8"/>
    <w:rsid w:val="00D95C43"/>
    <w:rsid w:val="00D960E2"/>
    <w:rsid w:val="00D963A1"/>
    <w:rsid w:val="00D96880"/>
    <w:rsid w:val="00D96A22"/>
    <w:rsid w:val="00D9728C"/>
    <w:rsid w:val="00D979FB"/>
    <w:rsid w:val="00D97A93"/>
    <w:rsid w:val="00D97A99"/>
    <w:rsid w:val="00D97C78"/>
    <w:rsid w:val="00D97DB4"/>
    <w:rsid w:val="00DA14BE"/>
    <w:rsid w:val="00DA1B9B"/>
    <w:rsid w:val="00DA1CBE"/>
    <w:rsid w:val="00DA1D7F"/>
    <w:rsid w:val="00DA1E61"/>
    <w:rsid w:val="00DA1F6F"/>
    <w:rsid w:val="00DA2010"/>
    <w:rsid w:val="00DA2A6A"/>
    <w:rsid w:val="00DA2E73"/>
    <w:rsid w:val="00DA3059"/>
    <w:rsid w:val="00DA32E5"/>
    <w:rsid w:val="00DA4032"/>
    <w:rsid w:val="00DA4453"/>
    <w:rsid w:val="00DA4699"/>
    <w:rsid w:val="00DA4B96"/>
    <w:rsid w:val="00DA4F07"/>
    <w:rsid w:val="00DA4F08"/>
    <w:rsid w:val="00DA4F59"/>
    <w:rsid w:val="00DA5036"/>
    <w:rsid w:val="00DA6168"/>
    <w:rsid w:val="00DA6E80"/>
    <w:rsid w:val="00DA6F89"/>
    <w:rsid w:val="00DA7719"/>
    <w:rsid w:val="00DA7995"/>
    <w:rsid w:val="00DA7BFD"/>
    <w:rsid w:val="00DB0167"/>
    <w:rsid w:val="00DB017A"/>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43"/>
    <w:rsid w:val="00DB4872"/>
    <w:rsid w:val="00DB4928"/>
    <w:rsid w:val="00DB4A67"/>
    <w:rsid w:val="00DB55AC"/>
    <w:rsid w:val="00DB57E1"/>
    <w:rsid w:val="00DB57EB"/>
    <w:rsid w:val="00DB59E7"/>
    <w:rsid w:val="00DB5D39"/>
    <w:rsid w:val="00DB68A2"/>
    <w:rsid w:val="00DB6989"/>
    <w:rsid w:val="00DB6D81"/>
    <w:rsid w:val="00DB6E5F"/>
    <w:rsid w:val="00DB6FBD"/>
    <w:rsid w:val="00DB722E"/>
    <w:rsid w:val="00DB79AA"/>
    <w:rsid w:val="00DC03E8"/>
    <w:rsid w:val="00DC074A"/>
    <w:rsid w:val="00DC0837"/>
    <w:rsid w:val="00DC110A"/>
    <w:rsid w:val="00DC233A"/>
    <w:rsid w:val="00DC296D"/>
    <w:rsid w:val="00DC4594"/>
    <w:rsid w:val="00DC592B"/>
    <w:rsid w:val="00DC62C4"/>
    <w:rsid w:val="00DC686E"/>
    <w:rsid w:val="00DC6C98"/>
    <w:rsid w:val="00DC6D86"/>
    <w:rsid w:val="00DC7493"/>
    <w:rsid w:val="00DC77E2"/>
    <w:rsid w:val="00DC7F11"/>
    <w:rsid w:val="00DD00F5"/>
    <w:rsid w:val="00DD0442"/>
    <w:rsid w:val="00DD1008"/>
    <w:rsid w:val="00DD14C6"/>
    <w:rsid w:val="00DD14D2"/>
    <w:rsid w:val="00DD16BF"/>
    <w:rsid w:val="00DD258D"/>
    <w:rsid w:val="00DD263D"/>
    <w:rsid w:val="00DD3411"/>
    <w:rsid w:val="00DD3696"/>
    <w:rsid w:val="00DD372E"/>
    <w:rsid w:val="00DD3B08"/>
    <w:rsid w:val="00DD3F7E"/>
    <w:rsid w:val="00DD408F"/>
    <w:rsid w:val="00DD4711"/>
    <w:rsid w:val="00DD580F"/>
    <w:rsid w:val="00DD605E"/>
    <w:rsid w:val="00DD6F9E"/>
    <w:rsid w:val="00DD77D6"/>
    <w:rsid w:val="00DD7818"/>
    <w:rsid w:val="00DD79E8"/>
    <w:rsid w:val="00DD7E26"/>
    <w:rsid w:val="00DE0127"/>
    <w:rsid w:val="00DE0B62"/>
    <w:rsid w:val="00DE1311"/>
    <w:rsid w:val="00DE1384"/>
    <w:rsid w:val="00DE1624"/>
    <w:rsid w:val="00DE19DC"/>
    <w:rsid w:val="00DE1F9A"/>
    <w:rsid w:val="00DE2373"/>
    <w:rsid w:val="00DE26A2"/>
    <w:rsid w:val="00DE2A67"/>
    <w:rsid w:val="00DE2AA6"/>
    <w:rsid w:val="00DE2E6E"/>
    <w:rsid w:val="00DE3599"/>
    <w:rsid w:val="00DE3A26"/>
    <w:rsid w:val="00DE3C0C"/>
    <w:rsid w:val="00DE40D7"/>
    <w:rsid w:val="00DE4390"/>
    <w:rsid w:val="00DE491A"/>
    <w:rsid w:val="00DE54C6"/>
    <w:rsid w:val="00DE5603"/>
    <w:rsid w:val="00DE57EB"/>
    <w:rsid w:val="00DE58F9"/>
    <w:rsid w:val="00DE5EA7"/>
    <w:rsid w:val="00DE6AF2"/>
    <w:rsid w:val="00DE6C08"/>
    <w:rsid w:val="00DE6EF8"/>
    <w:rsid w:val="00DE7103"/>
    <w:rsid w:val="00DF06E6"/>
    <w:rsid w:val="00DF0F37"/>
    <w:rsid w:val="00DF1866"/>
    <w:rsid w:val="00DF205F"/>
    <w:rsid w:val="00DF2412"/>
    <w:rsid w:val="00DF2432"/>
    <w:rsid w:val="00DF2999"/>
    <w:rsid w:val="00DF2F86"/>
    <w:rsid w:val="00DF33E0"/>
    <w:rsid w:val="00DF3E4F"/>
    <w:rsid w:val="00DF407A"/>
    <w:rsid w:val="00DF4457"/>
    <w:rsid w:val="00DF48C1"/>
    <w:rsid w:val="00DF51B3"/>
    <w:rsid w:val="00DF531E"/>
    <w:rsid w:val="00DF56F4"/>
    <w:rsid w:val="00DF5972"/>
    <w:rsid w:val="00DF6214"/>
    <w:rsid w:val="00DF62C1"/>
    <w:rsid w:val="00DF6B1F"/>
    <w:rsid w:val="00DF76C1"/>
    <w:rsid w:val="00DF7713"/>
    <w:rsid w:val="00DF7955"/>
    <w:rsid w:val="00DF7BA0"/>
    <w:rsid w:val="00E00380"/>
    <w:rsid w:val="00E0089E"/>
    <w:rsid w:val="00E00D63"/>
    <w:rsid w:val="00E00E3F"/>
    <w:rsid w:val="00E00EB6"/>
    <w:rsid w:val="00E01D02"/>
    <w:rsid w:val="00E02071"/>
    <w:rsid w:val="00E021AB"/>
    <w:rsid w:val="00E02773"/>
    <w:rsid w:val="00E030AF"/>
    <w:rsid w:val="00E0370C"/>
    <w:rsid w:val="00E0392B"/>
    <w:rsid w:val="00E0406D"/>
    <w:rsid w:val="00E0431F"/>
    <w:rsid w:val="00E045F7"/>
    <w:rsid w:val="00E051FA"/>
    <w:rsid w:val="00E057AA"/>
    <w:rsid w:val="00E05DCF"/>
    <w:rsid w:val="00E05EDF"/>
    <w:rsid w:val="00E05F8E"/>
    <w:rsid w:val="00E067C1"/>
    <w:rsid w:val="00E069E0"/>
    <w:rsid w:val="00E071AA"/>
    <w:rsid w:val="00E074F2"/>
    <w:rsid w:val="00E07769"/>
    <w:rsid w:val="00E07CBC"/>
    <w:rsid w:val="00E07EA6"/>
    <w:rsid w:val="00E1010A"/>
    <w:rsid w:val="00E10285"/>
    <w:rsid w:val="00E10863"/>
    <w:rsid w:val="00E11045"/>
    <w:rsid w:val="00E1109E"/>
    <w:rsid w:val="00E111F3"/>
    <w:rsid w:val="00E11229"/>
    <w:rsid w:val="00E1125C"/>
    <w:rsid w:val="00E11357"/>
    <w:rsid w:val="00E1140E"/>
    <w:rsid w:val="00E1191E"/>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5043"/>
    <w:rsid w:val="00E15091"/>
    <w:rsid w:val="00E15622"/>
    <w:rsid w:val="00E166C0"/>
    <w:rsid w:val="00E1696F"/>
    <w:rsid w:val="00E17267"/>
    <w:rsid w:val="00E20C83"/>
    <w:rsid w:val="00E20F95"/>
    <w:rsid w:val="00E2165B"/>
    <w:rsid w:val="00E2174F"/>
    <w:rsid w:val="00E218C0"/>
    <w:rsid w:val="00E21911"/>
    <w:rsid w:val="00E21F8D"/>
    <w:rsid w:val="00E221FC"/>
    <w:rsid w:val="00E22725"/>
    <w:rsid w:val="00E22836"/>
    <w:rsid w:val="00E229A0"/>
    <w:rsid w:val="00E229B2"/>
    <w:rsid w:val="00E22ADC"/>
    <w:rsid w:val="00E22B29"/>
    <w:rsid w:val="00E22C42"/>
    <w:rsid w:val="00E22D45"/>
    <w:rsid w:val="00E232D1"/>
    <w:rsid w:val="00E2399D"/>
    <w:rsid w:val="00E23B89"/>
    <w:rsid w:val="00E23C15"/>
    <w:rsid w:val="00E2425A"/>
    <w:rsid w:val="00E245E0"/>
    <w:rsid w:val="00E24812"/>
    <w:rsid w:val="00E248C5"/>
    <w:rsid w:val="00E257DA"/>
    <w:rsid w:val="00E261E7"/>
    <w:rsid w:val="00E26CF2"/>
    <w:rsid w:val="00E2766E"/>
    <w:rsid w:val="00E277A5"/>
    <w:rsid w:val="00E300F2"/>
    <w:rsid w:val="00E30F98"/>
    <w:rsid w:val="00E30FF3"/>
    <w:rsid w:val="00E310DD"/>
    <w:rsid w:val="00E316B8"/>
    <w:rsid w:val="00E31A02"/>
    <w:rsid w:val="00E31DDE"/>
    <w:rsid w:val="00E326F4"/>
    <w:rsid w:val="00E32F9C"/>
    <w:rsid w:val="00E33178"/>
    <w:rsid w:val="00E3320D"/>
    <w:rsid w:val="00E332FF"/>
    <w:rsid w:val="00E3364F"/>
    <w:rsid w:val="00E33AFF"/>
    <w:rsid w:val="00E3437F"/>
    <w:rsid w:val="00E34522"/>
    <w:rsid w:val="00E3490C"/>
    <w:rsid w:val="00E34A04"/>
    <w:rsid w:val="00E34D0D"/>
    <w:rsid w:val="00E34E68"/>
    <w:rsid w:val="00E3505A"/>
    <w:rsid w:val="00E352FB"/>
    <w:rsid w:val="00E35E63"/>
    <w:rsid w:val="00E35EBF"/>
    <w:rsid w:val="00E3666E"/>
    <w:rsid w:val="00E370BC"/>
    <w:rsid w:val="00E371C3"/>
    <w:rsid w:val="00E37956"/>
    <w:rsid w:val="00E40089"/>
    <w:rsid w:val="00E401F7"/>
    <w:rsid w:val="00E40AF6"/>
    <w:rsid w:val="00E40E63"/>
    <w:rsid w:val="00E411ED"/>
    <w:rsid w:val="00E4133D"/>
    <w:rsid w:val="00E41521"/>
    <w:rsid w:val="00E41ADF"/>
    <w:rsid w:val="00E41FA7"/>
    <w:rsid w:val="00E4308F"/>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BA5"/>
    <w:rsid w:val="00E47F30"/>
    <w:rsid w:val="00E47F34"/>
    <w:rsid w:val="00E50706"/>
    <w:rsid w:val="00E5148F"/>
    <w:rsid w:val="00E51867"/>
    <w:rsid w:val="00E526E5"/>
    <w:rsid w:val="00E53878"/>
    <w:rsid w:val="00E53F04"/>
    <w:rsid w:val="00E5454F"/>
    <w:rsid w:val="00E54E54"/>
    <w:rsid w:val="00E55148"/>
    <w:rsid w:val="00E55541"/>
    <w:rsid w:val="00E55F73"/>
    <w:rsid w:val="00E560B5"/>
    <w:rsid w:val="00E56EE8"/>
    <w:rsid w:val="00E579B2"/>
    <w:rsid w:val="00E60264"/>
    <w:rsid w:val="00E607CF"/>
    <w:rsid w:val="00E60A9C"/>
    <w:rsid w:val="00E60B1A"/>
    <w:rsid w:val="00E60D46"/>
    <w:rsid w:val="00E60DAC"/>
    <w:rsid w:val="00E60EFA"/>
    <w:rsid w:val="00E61097"/>
    <w:rsid w:val="00E61291"/>
    <w:rsid w:val="00E620ED"/>
    <w:rsid w:val="00E62684"/>
    <w:rsid w:val="00E62983"/>
    <w:rsid w:val="00E62FC8"/>
    <w:rsid w:val="00E63385"/>
    <w:rsid w:val="00E633B6"/>
    <w:rsid w:val="00E6355F"/>
    <w:rsid w:val="00E636BC"/>
    <w:rsid w:val="00E64202"/>
    <w:rsid w:val="00E645C5"/>
    <w:rsid w:val="00E64768"/>
    <w:rsid w:val="00E64930"/>
    <w:rsid w:val="00E64DAF"/>
    <w:rsid w:val="00E653C1"/>
    <w:rsid w:val="00E66180"/>
    <w:rsid w:val="00E664A1"/>
    <w:rsid w:val="00E66946"/>
    <w:rsid w:val="00E66F65"/>
    <w:rsid w:val="00E675CB"/>
    <w:rsid w:val="00E677B5"/>
    <w:rsid w:val="00E7005A"/>
    <w:rsid w:val="00E702A9"/>
    <w:rsid w:val="00E702D1"/>
    <w:rsid w:val="00E71CC6"/>
    <w:rsid w:val="00E721BB"/>
    <w:rsid w:val="00E72965"/>
    <w:rsid w:val="00E72E24"/>
    <w:rsid w:val="00E72FF1"/>
    <w:rsid w:val="00E73483"/>
    <w:rsid w:val="00E73BB1"/>
    <w:rsid w:val="00E73D50"/>
    <w:rsid w:val="00E7432C"/>
    <w:rsid w:val="00E74588"/>
    <w:rsid w:val="00E746AA"/>
    <w:rsid w:val="00E74736"/>
    <w:rsid w:val="00E74A72"/>
    <w:rsid w:val="00E756BB"/>
    <w:rsid w:val="00E75855"/>
    <w:rsid w:val="00E75DCE"/>
    <w:rsid w:val="00E75FCD"/>
    <w:rsid w:val="00E761D8"/>
    <w:rsid w:val="00E76856"/>
    <w:rsid w:val="00E76AC8"/>
    <w:rsid w:val="00E76B31"/>
    <w:rsid w:val="00E76F6B"/>
    <w:rsid w:val="00E80172"/>
    <w:rsid w:val="00E803B7"/>
    <w:rsid w:val="00E80BF6"/>
    <w:rsid w:val="00E80C0B"/>
    <w:rsid w:val="00E80C88"/>
    <w:rsid w:val="00E80DA9"/>
    <w:rsid w:val="00E80F13"/>
    <w:rsid w:val="00E81387"/>
    <w:rsid w:val="00E813AD"/>
    <w:rsid w:val="00E820F8"/>
    <w:rsid w:val="00E82F23"/>
    <w:rsid w:val="00E82FE3"/>
    <w:rsid w:val="00E83140"/>
    <w:rsid w:val="00E837DA"/>
    <w:rsid w:val="00E842CC"/>
    <w:rsid w:val="00E847A0"/>
    <w:rsid w:val="00E84A73"/>
    <w:rsid w:val="00E8512F"/>
    <w:rsid w:val="00E853AA"/>
    <w:rsid w:val="00E85ADE"/>
    <w:rsid w:val="00E86350"/>
    <w:rsid w:val="00E866AB"/>
    <w:rsid w:val="00E86752"/>
    <w:rsid w:val="00E86959"/>
    <w:rsid w:val="00E87577"/>
    <w:rsid w:val="00E87891"/>
    <w:rsid w:val="00E87EEF"/>
    <w:rsid w:val="00E91D67"/>
    <w:rsid w:val="00E922D8"/>
    <w:rsid w:val="00E92603"/>
    <w:rsid w:val="00E927DD"/>
    <w:rsid w:val="00E928A3"/>
    <w:rsid w:val="00E92AE4"/>
    <w:rsid w:val="00E92BFE"/>
    <w:rsid w:val="00E932AF"/>
    <w:rsid w:val="00E936B1"/>
    <w:rsid w:val="00E93FD2"/>
    <w:rsid w:val="00E94099"/>
    <w:rsid w:val="00E94208"/>
    <w:rsid w:val="00E94A79"/>
    <w:rsid w:val="00E94F9D"/>
    <w:rsid w:val="00E958DB"/>
    <w:rsid w:val="00E95DA6"/>
    <w:rsid w:val="00E95EB4"/>
    <w:rsid w:val="00E95EF9"/>
    <w:rsid w:val="00E9616D"/>
    <w:rsid w:val="00E96518"/>
    <w:rsid w:val="00E96809"/>
    <w:rsid w:val="00E9681F"/>
    <w:rsid w:val="00E968F7"/>
    <w:rsid w:val="00EA043F"/>
    <w:rsid w:val="00EA07A4"/>
    <w:rsid w:val="00EA099F"/>
    <w:rsid w:val="00EA0C59"/>
    <w:rsid w:val="00EA0D49"/>
    <w:rsid w:val="00EA0F3D"/>
    <w:rsid w:val="00EA13EF"/>
    <w:rsid w:val="00EA1961"/>
    <w:rsid w:val="00EA1C27"/>
    <w:rsid w:val="00EA2086"/>
    <w:rsid w:val="00EA2ABA"/>
    <w:rsid w:val="00EA309B"/>
    <w:rsid w:val="00EA3266"/>
    <w:rsid w:val="00EA359E"/>
    <w:rsid w:val="00EA38CB"/>
    <w:rsid w:val="00EA3AEF"/>
    <w:rsid w:val="00EA3E56"/>
    <w:rsid w:val="00EA412A"/>
    <w:rsid w:val="00EA4178"/>
    <w:rsid w:val="00EA4EE2"/>
    <w:rsid w:val="00EA512E"/>
    <w:rsid w:val="00EA5919"/>
    <w:rsid w:val="00EA5D61"/>
    <w:rsid w:val="00EA61D3"/>
    <w:rsid w:val="00EA67CE"/>
    <w:rsid w:val="00EB082D"/>
    <w:rsid w:val="00EB147A"/>
    <w:rsid w:val="00EB297B"/>
    <w:rsid w:val="00EB311E"/>
    <w:rsid w:val="00EB32E0"/>
    <w:rsid w:val="00EB349C"/>
    <w:rsid w:val="00EB47CD"/>
    <w:rsid w:val="00EB4803"/>
    <w:rsid w:val="00EB4ED7"/>
    <w:rsid w:val="00EB53BB"/>
    <w:rsid w:val="00EB5660"/>
    <w:rsid w:val="00EB5739"/>
    <w:rsid w:val="00EB5C69"/>
    <w:rsid w:val="00EB6253"/>
    <w:rsid w:val="00EB657B"/>
    <w:rsid w:val="00EB6935"/>
    <w:rsid w:val="00EB69C9"/>
    <w:rsid w:val="00EB69CB"/>
    <w:rsid w:val="00EB774E"/>
    <w:rsid w:val="00EB7E6E"/>
    <w:rsid w:val="00EC019C"/>
    <w:rsid w:val="00EC01F2"/>
    <w:rsid w:val="00EC0955"/>
    <w:rsid w:val="00EC09F6"/>
    <w:rsid w:val="00EC100C"/>
    <w:rsid w:val="00EC1216"/>
    <w:rsid w:val="00EC1678"/>
    <w:rsid w:val="00EC1B22"/>
    <w:rsid w:val="00EC2555"/>
    <w:rsid w:val="00EC2CF8"/>
    <w:rsid w:val="00EC2D1B"/>
    <w:rsid w:val="00EC34D6"/>
    <w:rsid w:val="00EC3AFE"/>
    <w:rsid w:val="00EC404E"/>
    <w:rsid w:val="00EC51B5"/>
    <w:rsid w:val="00EC51FD"/>
    <w:rsid w:val="00EC546B"/>
    <w:rsid w:val="00EC6055"/>
    <w:rsid w:val="00EC65EB"/>
    <w:rsid w:val="00EC6E2F"/>
    <w:rsid w:val="00EC6E77"/>
    <w:rsid w:val="00EC6E9E"/>
    <w:rsid w:val="00EC6EB4"/>
    <w:rsid w:val="00EC70DE"/>
    <w:rsid w:val="00ED022E"/>
    <w:rsid w:val="00ED0773"/>
    <w:rsid w:val="00ED07BE"/>
    <w:rsid w:val="00ED141D"/>
    <w:rsid w:val="00ED1557"/>
    <w:rsid w:val="00ED17D0"/>
    <w:rsid w:val="00ED19FE"/>
    <w:rsid w:val="00ED1D66"/>
    <w:rsid w:val="00ED20A4"/>
    <w:rsid w:val="00ED2156"/>
    <w:rsid w:val="00ED21C9"/>
    <w:rsid w:val="00ED2564"/>
    <w:rsid w:val="00ED302C"/>
    <w:rsid w:val="00ED348C"/>
    <w:rsid w:val="00ED3711"/>
    <w:rsid w:val="00ED3952"/>
    <w:rsid w:val="00ED401D"/>
    <w:rsid w:val="00ED4121"/>
    <w:rsid w:val="00ED4811"/>
    <w:rsid w:val="00ED49D6"/>
    <w:rsid w:val="00ED4BFA"/>
    <w:rsid w:val="00ED4F42"/>
    <w:rsid w:val="00ED5268"/>
    <w:rsid w:val="00ED5DBB"/>
    <w:rsid w:val="00ED6537"/>
    <w:rsid w:val="00ED6872"/>
    <w:rsid w:val="00ED6D22"/>
    <w:rsid w:val="00ED6E50"/>
    <w:rsid w:val="00ED78E0"/>
    <w:rsid w:val="00ED7CCB"/>
    <w:rsid w:val="00EE0226"/>
    <w:rsid w:val="00EE0A4F"/>
    <w:rsid w:val="00EE0D7B"/>
    <w:rsid w:val="00EE0F04"/>
    <w:rsid w:val="00EE12CF"/>
    <w:rsid w:val="00EE151A"/>
    <w:rsid w:val="00EE15BE"/>
    <w:rsid w:val="00EE187A"/>
    <w:rsid w:val="00EE3711"/>
    <w:rsid w:val="00EE380B"/>
    <w:rsid w:val="00EE3BC2"/>
    <w:rsid w:val="00EE4D6E"/>
    <w:rsid w:val="00EE4F18"/>
    <w:rsid w:val="00EE5C6A"/>
    <w:rsid w:val="00EE5C91"/>
    <w:rsid w:val="00EE6047"/>
    <w:rsid w:val="00EE6159"/>
    <w:rsid w:val="00EE6C01"/>
    <w:rsid w:val="00EE7A57"/>
    <w:rsid w:val="00EF026B"/>
    <w:rsid w:val="00EF0400"/>
    <w:rsid w:val="00EF0968"/>
    <w:rsid w:val="00EF0F3E"/>
    <w:rsid w:val="00EF11EE"/>
    <w:rsid w:val="00EF14F8"/>
    <w:rsid w:val="00EF1EF8"/>
    <w:rsid w:val="00EF25A1"/>
    <w:rsid w:val="00EF2CF9"/>
    <w:rsid w:val="00EF3545"/>
    <w:rsid w:val="00EF442B"/>
    <w:rsid w:val="00EF4775"/>
    <w:rsid w:val="00EF4837"/>
    <w:rsid w:val="00EF54E7"/>
    <w:rsid w:val="00EF5AB8"/>
    <w:rsid w:val="00EF5D7F"/>
    <w:rsid w:val="00EF6090"/>
    <w:rsid w:val="00EF6315"/>
    <w:rsid w:val="00EF66D0"/>
    <w:rsid w:val="00EF70C1"/>
    <w:rsid w:val="00EF7956"/>
    <w:rsid w:val="00F0034A"/>
    <w:rsid w:val="00F00669"/>
    <w:rsid w:val="00F00670"/>
    <w:rsid w:val="00F00A3A"/>
    <w:rsid w:val="00F00C08"/>
    <w:rsid w:val="00F0111D"/>
    <w:rsid w:val="00F023E4"/>
    <w:rsid w:val="00F02949"/>
    <w:rsid w:val="00F02A5D"/>
    <w:rsid w:val="00F03472"/>
    <w:rsid w:val="00F038D8"/>
    <w:rsid w:val="00F03DC7"/>
    <w:rsid w:val="00F03F48"/>
    <w:rsid w:val="00F040E9"/>
    <w:rsid w:val="00F05167"/>
    <w:rsid w:val="00F05808"/>
    <w:rsid w:val="00F05B06"/>
    <w:rsid w:val="00F0633A"/>
    <w:rsid w:val="00F066EB"/>
    <w:rsid w:val="00F06A6F"/>
    <w:rsid w:val="00F06DB1"/>
    <w:rsid w:val="00F07689"/>
    <w:rsid w:val="00F07ADA"/>
    <w:rsid w:val="00F07C3C"/>
    <w:rsid w:val="00F07F5F"/>
    <w:rsid w:val="00F10313"/>
    <w:rsid w:val="00F107CF"/>
    <w:rsid w:val="00F1098E"/>
    <w:rsid w:val="00F10B46"/>
    <w:rsid w:val="00F10C31"/>
    <w:rsid w:val="00F11344"/>
    <w:rsid w:val="00F1145F"/>
    <w:rsid w:val="00F11560"/>
    <w:rsid w:val="00F116EF"/>
    <w:rsid w:val="00F11D56"/>
    <w:rsid w:val="00F123EC"/>
    <w:rsid w:val="00F12B7C"/>
    <w:rsid w:val="00F1318F"/>
    <w:rsid w:val="00F13842"/>
    <w:rsid w:val="00F13C48"/>
    <w:rsid w:val="00F142A4"/>
    <w:rsid w:val="00F1486E"/>
    <w:rsid w:val="00F14FB1"/>
    <w:rsid w:val="00F14FF3"/>
    <w:rsid w:val="00F15DD8"/>
    <w:rsid w:val="00F1607B"/>
    <w:rsid w:val="00F1668F"/>
    <w:rsid w:val="00F16AEB"/>
    <w:rsid w:val="00F16CFA"/>
    <w:rsid w:val="00F17E0B"/>
    <w:rsid w:val="00F2051D"/>
    <w:rsid w:val="00F20AF4"/>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C24"/>
    <w:rsid w:val="00F23D28"/>
    <w:rsid w:val="00F23DAD"/>
    <w:rsid w:val="00F25093"/>
    <w:rsid w:val="00F250C3"/>
    <w:rsid w:val="00F25257"/>
    <w:rsid w:val="00F2546E"/>
    <w:rsid w:val="00F261C3"/>
    <w:rsid w:val="00F26431"/>
    <w:rsid w:val="00F26A4B"/>
    <w:rsid w:val="00F26BD2"/>
    <w:rsid w:val="00F26E53"/>
    <w:rsid w:val="00F2758A"/>
    <w:rsid w:val="00F27674"/>
    <w:rsid w:val="00F27701"/>
    <w:rsid w:val="00F27C1E"/>
    <w:rsid w:val="00F303E8"/>
    <w:rsid w:val="00F30434"/>
    <w:rsid w:val="00F30BC4"/>
    <w:rsid w:val="00F31256"/>
    <w:rsid w:val="00F31913"/>
    <w:rsid w:val="00F32CB3"/>
    <w:rsid w:val="00F32E03"/>
    <w:rsid w:val="00F331DD"/>
    <w:rsid w:val="00F34054"/>
    <w:rsid w:val="00F34635"/>
    <w:rsid w:val="00F34A54"/>
    <w:rsid w:val="00F34EA0"/>
    <w:rsid w:val="00F34F85"/>
    <w:rsid w:val="00F35669"/>
    <w:rsid w:val="00F36499"/>
    <w:rsid w:val="00F3731F"/>
    <w:rsid w:val="00F374D0"/>
    <w:rsid w:val="00F404DE"/>
    <w:rsid w:val="00F40A99"/>
    <w:rsid w:val="00F40AB2"/>
    <w:rsid w:val="00F40AF9"/>
    <w:rsid w:val="00F40CEB"/>
    <w:rsid w:val="00F40F30"/>
    <w:rsid w:val="00F4102E"/>
    <w:rsid w:val="00F411B2"/>
    <w:rsid w:val="00F414AE"/>
    <w:rsid w:val="00F4172D"/>
    <w:rsid w:val="00F418D9"/>
    <w:rsid w:val="00F4200F"/>
    <w:rsid w:val="00F42064"/>
    <w:rsid w:val="00F42707"/>
    <w:rsid w:val="00F42B4E"/>
    <w:rsid w:val="00F4379E"/>
    <w:rsid w:val="00F4479D"/>
    <w:rsid w:val="00F44F40"/>
    <w:rsid w:val="00F454F1"/>
    <w:rsid w:val="00F45DB4"/>
    <w:rsid w:val="00F460FD"/>
    <w:rsid w:val="00F461C9"/>
    <w:rsid w:val="00F46A1E"/>
    <w:rsid w:val="00F4707B"/>
    <w:rsid w:val="00F471C7"/>
    <w:rsid w:val="00F47897"/>
    <w:rsid w:val="00F503B9"/>
    <w:rsid w:val="00F50B27"/>
    <w:rsid w:val="00F5158F"/>
    <w:rsid w:val="00F51BF4"/>
    <w:rsid w:val="00F51DAE"/>
    <w:rsid w:val="00F52BED"/>
    <w:rsid w:val="00F52F8B"/>
    <w:rsid w:val="00F53C50"/>
    <w:rsid w:val="00F541E4"/>
    <w:rsid w:val="00F54675"/>
    <w:rsid w:val="00F54810"/>
    <w:rsid w:val="00F54C34"/>
    <w:rsid w:val="00F54CEB"/>
    <w:rsid w:val="00F551D4"/>
    <w:rsid w:val="00F551DC"/>
    <w:rsid w:val="00F55570"/>
    <w:rsid w:val="00F55CB2"/>
    <w:rsid w:val="00F55FC3"/>
    <w:rsid w:val="00F56149"/>
    <w:rsid w:val="00F566CB"/>
    <w:rsid w:val="00F56731"/>
    <w:rsid w:val="00F5727D"/>
    <w:rsid w:val="00F57572"/>
    <w:rsid w:val="00F5797A"/>
    <w:rsid w:val="00F600C3"/>
    <w:rsid w:val="00F60283"/>
    <w:rsid w:val="00F606C5"/>
    <w:rsid w:val="00F60A83"/>
    <w:rsid w:val="00F60B66"/>
    <w:rsid w:val="00F60BF5"/>
    <w:rsid w:val="00F616FE"/>
    <w:rsid w:val="00F62B05"/>
    <w:rsid w:val="00F62BB6"/>
    <w:rsid w:val="00F63205"/>
    <w:rsid w:val="00F640F5"/>
    <w:rsid w:val="00F65EDB"/>
    <w:rsid w:val="00F660F0"/>
    <w:rsid w:val="00F66656"/>
    <w:rsid w:val="00F671B6"/>
    <w:rsid w:val="00F671F9"/>
    <w:rsid w:val="00F70618"/>
    <w:rsid w:val="00F70774"/>
    <w:rsid w:val="00F70BEC"/>
    <w:rsid w:val="00F7143B"/>
    <w:rsid w:val="00F7147B"/>
    <w:rsid w:val="00F715A5"/>
    <w:rsid w:val="00F715F0"/>
    <w:rsid w:val="00F71708"/>
    <w:rsid w:val="00F71934"/>
    <w:rsid w:val="00F71A52"/>
    <w:rsid w:val="00F71BF2"/>
    <w:rsid w:val="00F71CD3"/>
    <w:rsid w:val="00F71D18"/>
    <w:rsid w:val="00F72014"/>
    <w:rsid w:val="00F72697"/>
    <w:rsid w:val="00F727EB"/>
    <w:rsid w:val="00F729D3"/>
    <w:rsid w:val="00F72B7A"/>
    <w:rsid w:val="00F72EC4"/>
    <w:rsid w:val="00F73168"/>
    <w:rsid w:val="00F7319D"/>
    <w:rsid w:val="00F73225"/>
    <w:rsid w:val="00F73FEF"/>
    <w:rsid w:val="00F74753"/>
    <w:rsid w:val="00F74768"/>
    <w:rsid w:val="00F74A0D"/>
    <w:rsid w:val="00F74A8B"/>
    <w:rsid w:val="00F758B4"/>
    <w:rsid w:val="00F75EA2"/>
    <w:rsid w:val="00F76A89"/>
    <w:rsid w:val="00F76F23"/>
    <w:rsid w:val="00F77061"/>
    <w:rsid w:val="00F773B3"/>
    <w:rsid w:val="00F776F4"/>
    <w:rsid w:val="00F77A39"/>
    <w:rsid w:val="00F801C0"/>
    <w:rsid w:val="00F80535"/>
    <w:rsid w:val="00F814E9"/>
    <w:rsid w:val="00F81D66"/>
    <w:rsid w:val="00F82FE4"/>
    <w:rsid w:val="00F83523"/>
    <w:rsid w:val="00F835BD"/>
    <w:rsid w:val="00F83BB6"/>
    <w:rsid w:val="00F84327"/>
    <w:rsid w:val="00F843CC"/>
    <w:rsid w:val="00F84D5A"/>
    <w:rsid w:val="00F84EA9"/>
    <w:rsid w:val="00F8532B"/>
    <w:rsid w:val="00F85465"/>
    <w:rsid w:val="00F874CB"/>
    <w:rsid w:val="00F876CA"/>
    <w:rsid w:val="00F90D11"/>
    <w:rsid w:val="00F91074"/>
    <w:rsid w:val="00F9117E"/>
    <w:rsid w:val="00F91E16"/>
    <w:rsid w:val="00F923BC"/>
    <w:rsid w:val="00F92606"/>
    <w:rsid w:val="00F92BC3"/>
    <w:rsid w:val="00F92CE8"/>
    <w:rsid w:val="00F92EFE"/>
    <w:rsid w:val="00F934E4"/>
    <w:rsid w:val="00F938B5"/>
    <w:rsid w:val="00F944BD"/>
    <w:rsid w:val="00F946A1"/>
    <w:rsid w:val="00F94710"/>
    <w:rsid w:val="00F94C56"/>
    <w:rsid w:val="00F95082"/>
    <w:rsid w:val="00F9543D"/>
    <w:rsid w:val="00F968A0"/>
    <w:rsid w:val="00F96F33"/>
    <w:rsid w:val="00F971CC"/>
    <w:rsid w:val="00F97EBC"/>
    <w:rsid w:val="00FA0393"/>
    <w:rsid w:val="00FA0822"/>
    <w:rsid w:val="00FA0A26"/>
    <w:rsid w:val="00FA147E"/>
    <w:rsid w:val="00FA16BF"/>
    <w:rsid w:val="00FA1876"/>
    <w:rsid w:val="00FA1D4F"/>
    <w:rsid w:val="00FA31FA"/>
    <w:rsid w:val="00FA33DD"/>
    <w:rsid w:val="00FA35F5"/>
    <w:rsid w:val="00FA3856"/>
    <w:rsid w:val="00FA3B69"/>
    <w:rsid w:val="00FA3C38"/>
    <w:rsid w:val="00FA3ED4"/>
    <w:rsid w:val="00FA4D8E"/>
    <w:rsid w:val="00FA53B1"/>
    <w:rsid w:val="00FA54E9"/>
    <w:rsid w:val="00FA59BC"/>
    <w:rsid w:val="00FA5DBB"/>
    <w:rsid w:val="00FA6221"/>
    <w:rsid w:val="00FA63C5"/>
    <w:rsid w:val="00FA68A5"/>
    <w:rsid w:val="00FA6B22"/>
    <w:rsid w:val="00FA6BE1"/>
    <w:rsid w:val="00FA74AE"/>
    <w:rsid w:val="00FA7696"/>
    <w:rsid w:val="00FA796D"/>
    <w:rsid w:val="00FA7BFA"/>
    <w:rsid w:val="00FA7CDB"/>
    <w:rsid w:val="00FB0069"/>
    <w:rsid w:val="00FB03BA"/>
    <w:rsid w:val="00FB0959"/>
    <w:rsid w:val="00FB0B9C"/>
    <w:rsid w:val="00FB0BCD"/>
    <w:rsid w:val="00FB10CB"/>
    <w:rsid w:val="00FB1309"/>
    <w:rsid w:val="00FB278F"/>
    <w:rsid w:val="00FB2A7A"/>
    <w:rsid w:val="00FB2C2A"/>
    <w:rsid w:val="00FB38A4"/>
    <w:rsid w:val="00FB38E5"/>
    <w:rsid w:val="00FB3F81"/>
    <w:rsid w:val="00FB4497"/>
    <w:rsid w:val="00FB4B85"/>
    <w:rsid w:val="00FB54AE"/>
    <w:rsid w:val="00FB552C"/>
    <w:rsid w:val="00FB67D3"/>
    <w:rsid w:val="00FB69EE"/>
    <w:rsid w:val="00FB7C81"/>
    <w:rsid w:val="00FC0A68"/>
    <w:rsid w:val="00FC0DED"/>
    <w:rsid w:val="00FC12B1"/>
    <w:rsid w:val="00FC1CDC"/>
    <w:rsid w:val="00FC223A"/>
    <w:rsid w:val="00FC2486"/>
    <w:rsid w:val="00FC2695"/>
    <w:rsid w:val="00FC2991"/>
    <w:rsid w:val="00FC2B5D"/>
    <w:rsid w:val="00FC2F32"/>
    <w:rsid w:val="00FC3328"/>
    <w:rsid w:val="00FC3885"/>
    <w:rsid w:val="00FC3DAE"/>
    <w:rsid w:val="00FC4B95"/>
    <w:rsid w:val="00FC4DC7"/>
    <w:rsid w:val="00FC4E23"/>
    <w:rsid w:val="00FC57FC"/>
    <w:rsid w:val="00FC59B4"/>
    <w:rsid w:val="00FC5FEF"/>
    <w:rsid w:val="00FC64D5"/>
    <w:rsid w:val="00FC6B25"/>
    <w:rsid w:val="00FC76EB"/>
    <w:rsid w:val="00FC77CB"/>
    <w:rsid w:val="00FC7810"/>
    <w:rsid w:val="00FC7982"/>
    <w:rsid w:val="00FC7AA0"/>
    <w:rsid w:val="00FD00C2"/>
    <w:rsid w:val="00FD04B3"/>
    <w:rsid w:val="00FD0AA7"/>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5DFC"/>
    <w:rsid w:val="00FD76F5"/>
    <w:rsid w:val="00FD7FE6"/>
    <w:rsid w:val="00FE0389"/>
    <w:rsid w:val="00FE05B4"/>
    <w:rsid w:val="00FE0C3D"/>
    <w:rsid w:val="00FE0E64"/>
    <w:rsid w:val="00FE1350"/>
    <w:rsid w:val="00FE14A9"/>
    <w:rsid w:val="00FE168D"/>
    <w:rsid w:val="00FE1AC8"/>
    <w:rsid w:val="00FE1C57"/>
    <w:rsid w:val="00FE23C2"/>
    <w:rsid w:val="00FE2B1B"/>
    <w:rsid w:val="00FE3089"/>
    <w:rsid w:val="00FE33BE"/>
    <w:rsid w:val="00FE392D"/>
    <w:rsid w:val="00FE40BD"/>
    <w:rsid w:val="00FE435D"/>
    <w:rsid w:val="00FE4743"/>
    <w:rsid w:val="00FE5906"/>
    <w:rsid w:val="00FE5E62"/>
    <w:rsid w:val="00FE6523"/>
    <w:rsid w:val="00FE6A1D"/>
    <w:rsid w:val="00FE7234"/>
    <w:rsid w:val="00FE7A21"/>
    <w:rsid w:val="00FF078A"/>
    <w:rsid w:val="00FF1799"/>
    <w:rsid w:val="00FF1CA6"/>
    <w:rsid w:val="00FF26E1"/>
    <w:rsid w:val="00FF2804"/>
    <w:rsid w:val="00FF2A4E"/>
    <w:rsid w:val="00FF316A"/>
    <w:rsid w:val="00FF34DD"/>
    <w:rsid w:val="00FF37BD"/>
    <w:rsid w:val="00FF3CED"/>
    <w:rsid w:val="00FF49BB"/>
    <w:rsid w:val="00FF4A69"/>
    <w:rsid w:val="00FF5216"/>
    <w:rsid w:val="00FF554A"/>
    <w:rsid w:val="00FF56B7"/>
    <w:rsid w:val="00FF5BED"/>
    <w:rsid w:val="00FF5C21"/>
    <w:rsid w:val="00FF6009"/>
    <w:rsid w:val="00FF62F3"/>
    <w:rsid w:val="00FF678F"/>
    <w:rsid w:val="00FF6CD1"/>
    <w:rsid w:val="00FF6F59"/>
    <w:rsid w:val="00FF7077"/>
    <w:rsid w:val="00FF7355"/>
    <w:rsid w:val="00FF75FC"/>
    <w:rsid w:val="00FF7A90"/>
    <w:rsid w:val="00FF7E4D"/>
    <w:rsid w:val="0115454E"/>
    <w:rsid w:val="01242C11"/>
    <w:rsid w:val="013B5510"/>
    <w:rsid w:val="013D13C6"/>
    <w:rsid w:val="01422B07"/>
    <w:rsid w:val="01462EFE"/>
    <w:rsid w:val="015E0BE9"/>
    <w:rsid w:val="018F1416"/>
    <w:rsid w:val="01AB094A"/>
    <w:rsid w:val="01B306E4"/>
    <w:rsid w:val="01CA4B81"/>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A302C"/>
    <w:rsid w:val="043F479D"/>
    <w:rsid w:val="046C35A2"/>
    <w:rsid w:val="0492209E"/>
    <w:rsid w:val="04A05530"/>
    <w:rsid w:val="04B345F7"/>
    <w:rsid w:val="04BE7DD0"/>
    <w:rsid w:val="04EB3650"/>
    <w:rsid w:val="050D0125"/>
    <w:rsid w:val="054445DB"/>
    <w:rsid w:val="055A06C9"/>
    <w:rsid w:val="05702DF2"/>
    <w:rsid w:val="05733EFD"/>
    <w:rsid w:val="058D2653"/>
    <w:rsid w:val="05A11E98"/>
    <w:rsid w:val="05EA3121"/>
    <w:rsid w:val="05EB37CA"/>
    <w:rsid w:val="05EF39F0"/>
    <w:rsid w:val="060D79A1"/>
    <w:rsid w:val="06257099"/>
    <w:rsid w:val="067751BD"/>
    <w:rsid w:val="06CF7159"/>
    <w:rsid w:val="06D32D7E"/>
    <w:rsid w:val="06E21138"/>
    <w:rsid w:val="06E64C63"/>
    <w:rsid w:val="06F24EF2"/>
    <w:rsid w:val="07470651"/>
    <w:rsid w:val="07AE7932"/>
    <w:rsid w:val="07B814E5"/>
    <w:rsid w:val="07D013A8"/>
    <w:rsid w:val="07D648D8"/>
    <w:rsid w:val="07FD44E9"/>
    <w:rsid w:val="0805407D"/>
    <w:rsid w:val="08127126"/>
    <w:rsid w:val="08132E8B"/>
    <w:rsid w:val="081D706E"/>
    <w:rsid w:val="085D519A"/>
    <w:rsid w:val="086D1BC3"/>
    <w:rsid w:val="08706B4B"/>
    <w:rsid w:val="088B79C8"/>
    <w:rsid w:val="08CA0CC8"/>
    <w:rsid w:val="08CE61CB"/>
    <w:rsid w:val="08D2064E"/>
    <w:rsid w:val="08F44BC5"/>
    <w:rsid w:val="08FA203B"/>
    <w:rsid w:val="094B14E7"/>
    <w:rsid w:val="095256C8"/>
    <w:rsid w:val="09AB29D4"/>
    <w:rsid w:val="0A32370E"/>
    <w:rsid w:val="0A585A2D"/>
    <w:rsid w:val="0A594E3E"/>
    <w:rsid w:val="0A5C768D"/>
    <w:rsid w:val="0A6F50FD"/>
    <w:rsid w:val="0A895CF1"/>
    <w:rsid w:val="0A934843"/>
    <w:rsid w:val="0A9E4A8D"/>
    <w:rsid w:val="0A9F2012"/>
    <w:rsid w:val="0AAA6D9C"/>
    <w:rsid w:val="0AB218F9"/>
    <w:rsid w:val="0AB53627"/>
    <w:rsid w:val="0ACE1EAB"/>
    <w:rsid w:val="0AE65CB9"/>
    <w:rsid w:val="0AE96B11"/>
    <w:rsid w:val="0AFD09EB"/>
    <w:rsid w:val="0B07538C"/>
    <w:rsid w:val="0B1A274D"/>
    <w:rsid w:val="0B254ED4"/>
    <w:rsid w:val="0B2E5D46"/>
    <w:rsid w:val="0B3506F5"/>
    <w:rsid w:val="0B3A4E5B"/>
    <w:rsid w:val="0B5823AA"/>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0658"/>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DD417E"/>
    <w:rsid w:val="16E33AB3"/>
    <w:rsid w:val="16EB76EF"/>
    <w:rsid w:val="171B0546"/>
    <w:rsid w:val="17304A49"/>
    <w:rsid w:val="173353C2"/>
    <w:rsid w:val="17580847"/>
    <w:rsid w:val="17874ED3"/>
    <w:rsid w:val="17886A2C"/>
    <w:rsid w:val="178F26E7"/>
    <w:rsid w:val="17966843"/>
    <w:rsid w:val="17A9660F"/>
    <w:rsid w:val="17D80F4C"/>
    <w:rsid w:val="17E14521"/>
    <w:rsid w:val="18117661"/>
    <w:rsid w:val="181D23D4"/>
    <w:rsid w:val="18523ADE"/>
    <w:rsid w:val="1866694B"/>
    <w:rsid w:val="186C1ACE"/>
    <w:rsid w:val="188C6C7D"/>
    <w:rsid w:val="18960812"/>
    <w:rsid w:val="189C7EF6"/>
    <w:rsid w:val="18B04B4D"/>
    <w:rsid w:val="18E87E12"/>
    <w:rsid w:val="18F5052C"/>
    <w:rsid w:val="191D14D9"/>
    <w:rsid w:val="195529C1"/>
    <w:rsid w:val="19693EEF"/>
    <w:rsid w:val="196B5F41"/>
    <w:rsid w:val="196F6A9B"/>
    <w:rsid w:val="19D1732F"/>
    <w:rsid w:val="1A200A74"/>
    <w:rsid w:val="1A3055B8"/>
    <w:rsid w:val="1A5655AF"/>
    <w:rsid w:val="1A6B5CD7"/>
    <w:rsid w:val="1A9B675D"/>
    <w:rsid w:val="1AB64C0C"/>
    <w:rsid w:val="1ADE3E70"/>
    <w:rsid w:val="1AE42348"/>
    <w:rsid w:val="1AF2383D"/>
    <w:rsid w:val="1B157C1A"/>
    <w:rsid w:val="1B211C8A"/>
    <w:rsid w:val="1B325062"/>
    <w:rsid w:val="1B99173F"/>
    <w:rsid w:val="1B9E5782"/>
    <w:rsid w:val="1B9F2F5B"/>
    <w:rsid w:val="1BA31D38"/>
    <w:rsid w:val="1BB15A38"/>
    <w:rsid w:val="1BB32D92"/>
    <w:rsid w:val="1BCA4E13"/>
    <w:rsid w:val="1BE75134"/>
    <w:rsid w:val="1BEB39AC"/>
    <w:rsid w:val="1C3C5A93"/>
    <w:rsid w:val="1C4852DE"/>
    <w:rsid w:val="1C4D45E0"/>
    <w:rsid w:val="1CB701AA"/>
    <w:rsid w:val="1CCA0F66"/>
    <w:rsid w:val="1CDE446D"/>
    <w:rsid w:val="1CE20210"/>
    <w:rsid w:val="1D464FEE"/>
    <w:rsid w:val="1D644902"/>
    <w:rsid w:val="1D8C2BA2"/>
    <w:rsid w:val="1D905228"/>
    <w:rsid w:val="1DF24DA6"/>
    <w:rsid w:val="1DF43659"/>
    <w:rsid w:val="1DFC21EE"/>
    <w:rsid w:val="1E4473F8"/>
    <w:rsid w:val="1E50751B"/>
    <w:rsid w:val="1E6D1C74"/>
    <w:rsid w:val="1E736E4E"/>
    <w:rsid w:val="1E7E5EB1"/>
    <w:rsid w:val="1EA61B83"/>
    <w:rsid w:val="1EA82227"/>
    <w:rsid w:val="1EAD188D"/>
    <w:rsid w:val="1EF23920"/>
    <w:rsid w:val="1F234826"/>
    <w:rsid w:val="1F5E0D38"/>
    <w:rsid w:val="1F5F4414"/>
    <w:rsid w:val="1F826970"/>
    <w:rsid w:val="1F972A67"/>
    <w:rsid w:val="1FA317AB"/>
    <w:rsid w:val="1FEE648E"/>
    <w:rsid w:val="1FF433BA"/>
    <w:rsid w:val="1FF9202F"/>
    <w:rsid w:val="20003026"/>
    <w:rsid w:val="200F3B23"/>
    <w:rsid w:val="201967D7"/>
    <w:rsid w:val="20374786"/>
    <w:rsid w:val="2039386F"/>
    <w:rsid w:val="20601C10"/>
    <w:rsid w:val="20A13861"/>
    <w:rsid w:val="20BB0C31"/>
    <w:rsid w:val="20CF37FC"/>
    <w:rsid w:val="20D717F3"/>
    <w:rsid w:val="20F12135"/>
    <w:rsid w:val="20F90AAC"/>
    <w:rsid w:val="212B616E"/>
    <w:rsid w:val="213121BA"/>
    <w:rsid w:val="214A2960"/>
    <w:rsid w:val="215302B9"/>
    <w:rsid w:val="218D006A"/>
    <w:rsid w:val="218E4A09"/>
    <w:rsid w:val="218E6399"/>
    <w:rsid w:val="21DF3292"/>
    <w:rsid w:val="2229623B"/>
    <w:rsid w:val="224C2951"/>
    <w:rsid w:val="227A54E3"/>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951E61"/>
    <w:rsid w:val="24B346B5"/>
    <w:rsid w:val="24B606B7"/>
    <w:rsid w:val="24EC3BCA"/>
    <w:rsid w:val="24EF6448"/>
    <w:rsid w:val="24F71B8F"/>
    <w:rsid w:val="250C0B5D"/>
    <w:rsid w:val="25335BFF"/>
    <w:rsid w:val="253D4E51"/>
    <w:rsid w:val="25893EFE"/>
    <w:rsid w:val="25BE6749"/>
    <w:rsid w:val="25DE0185"/>
    <w:rsid w:val="25E04003"/>
    <w:rsid w:val="25EE6875"/>
    <w:rsid w:val="260C334C"/>
    <w:rsid w:val="26276BC7"/>
    <w:rsid w:val="26412189"/>
    <w:rsid w:val="26566E1C"/>
    <w:rsid w:val="26A10A64"/>
    <w:rsid w:val="26A24282"/>
    <w:rsid w:val="26AF761E"/>
    <w:rsid w:val="26BB6790"/>
    <w:rsid w:val="26C84C3F"/>
    <w:rsid w:val="26CA39FA"/>
    <w:rsid w:val="26DB2072"/>
    <w:rsid w:val="271D238B"/>
    <w:rsid w:val="2737495D"/>
    <w:rsid w:val="27862FAB"/>
    <w:rsid w:val="278F67DD"/>
    <w:rsid w:val="27B778B7"/>
    <w:rsid w:val="27CE4805"/>
    <w:rsid w:val="27DC01C9"/>
    <w:rsid w:val="27EA6D62"/>
    <w:rsid w:val="28300784"/>
    <w:rsid w:val="287D7FC1"/>
    <w:rsid w:val="289E6725"/>
    <w:rsid w:val="29057EC1"/>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7E3CAD"/>
    <w:rsid w:val="2B831E93"/>
    <w:rsid w:val="2BA57D96"/>
    <w:rsid w:val="2BAE29A1"/>
    <w:rsid w:val="2BBE438D"/>
    <w:rsid w:val="2BE373EE"/>
    <w:rsid w:val="2C295EB9"/>
    <w:rsid w:val="2C4628DA"/>
    <w:rsid w:val="2C622710"/>
    <w:rsid w:val="2C7A1A31"/>
    <w:rsid w:val="2C7C7D79"/>
    <w:rsid w:val="2C9466E2"/>
    <w:rsid w:val="2CAF6B04"/>
    <w:rsid w:val="2CB0279E"/>
    <w:rsid w:val="2CD12AE5"/>
    <w:rsid w:val="2CD6509A"/>
    <w:rsid w:val="2D3A323B"/>
    <w:rsid w:val="2D4B55E5"/>
    <w:rsid w:val="2D53589F"/>
    <w:rsid w:val="2D7646A7"/>
    <w:rsid w:val="2DDC0104"/>
    <w:rsid w:val="2DE379BB"/>
    <w:rsid w:val="2E0177B9"/>
    <w:rsid w:val="2E034F95"/>
    <w:rsid w:val="2E1D2BF2"/>
    <w:rsid w:val="2E3B2A47"/>
    <w:rsid w:val="2E6003A4"/>
    <w:rsid w:val="2E69729D"/>
    <w:rsid w:val="2E8543E2"/>
    <w:rsid w:val="2E9B575E"/>
    <w:rsid w:val="2EB809B1"/>
    <w:rsid w:val="2EB81831"/>
    <w:rsid w:val="2ECF7A85"/>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6A0838"/>
    <w:rsid w:val="316B13D5"/>
    <w:rsid w:val="3171750A"/>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44127C5"/>
    <w:rsid w:val="34526E6E"/>
    <w:rsid w:val="345B1895"/>
    <w:rsid w:val="3485590E"/>
    <w:rsid w:val="34946C2E"/>
    <w:rsid w:val="34A24AD6"/>
    <w:rsid w:val="34C04708"/>
    <w:rsid w:val="34D46D17"/>
    <w:rsid w:val="34FD5844"/>
    <w:rsid w:val="35132D17"/>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C97969"/>
    <w:rsid w:val="36E62924"/>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0331B7"/>
    <w:rsid w:val="39105A0A"/>
    <w:rsid w:val="391B76F1"/>
    <w:rsid w:val="392245B5"/>
    <w:rsid w:val="393D721A"/>
    <w:rsid w:val="393F0F59"/>
    <w:rsid w:val="39416036"/>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2D39A9"/>
    <w:rsid w:val="3D3C5369"/>
    <w:rsid w:val="3D66205D"/>
    <w:rsid w:val="3D6D5EA9"/>
    <w:rsid w:val="3DA54021"/>
    <w:rsid w:val="3DD171A7"/>
    <w:rsid w:val="3DDC1724"/>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0E6AA3"/>
    <w:rsid w:val="3F2F6BD0"/>
    <w:rsid w:val="3F3330FC"/>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80316"/>
    <w:rsid w:val="437F792B"/>
    <w:rsid w:val="43BE214E"/>
    <w:rsid w:val="43ED298C"/>
    <w:rsid w:val="43EF2991"/>
    <w:rsid w:val="43F4696E"/>
    <w:rsid w:val="444C2D48"/>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863FBD"/>
    <w:rsid w:val="4AA927DF"/>
    <w:rsid w:val="4ABD2CBE"/>
    <w:rsid w:val="4ACA49FA"/>
    <w:rsid w:val="4AE8469B"/>
    <w:rsid w:val="4AED30D2"/>
    <w:rsid w:val="4AF05435"/>
    <w:rsid w:val="4AFE1C1B"/>
    <w:rsid w:val="4B503DE9"/>
    <w:rsid w:val="4B592E57"/>
    <w:rsid w:val="4B680FF9"/>
    <w:rsid w:val="4B731311"/>
    <w:rsid w:val="4B9A2375"/>
    <w:rsid w:val="4C1F7A5B"/>
    <w:rsid w:val="4C9A5F96"/>
    <w:rsid w:val="4C9B7DE3"/>
    <w:rsid w:val="4CA178A3"/>
    <w:rsid w:val="4CB3138C"/>
    <w:rsid w:val="4CBE1543"/>
    <w:rsid w:val="4CBE4760"/>
    <w:rsid w:val="4CCC2062"/>
    <w:rsid w:val="4CF86DA4"/>
    <w:rsid w:val="4D020DA5"/>
    <w:rsid w:val="4D0D52CB"/>
    <w:rsid w:val="4D205724"/>
    <w:rsid w:val="4D566C49"/>
    <w:rsid w:val="4D6037A5"/>
    <w:rsid w:val="4D743AA4"/>
    <w:rsid w:val="4D993267"/>
    <w:rsid w:val="4DA1355F"/>
    <w:rsid w:val="4DC67D4F"/>
    <w:rsid w:val="4DF67531"/>
    <w:rsid w:val="4E066E93"/>
    <w:rsid w:val="4E1D7E77"/>
    <w:rsid w:val="4E236A05"/>
    <w:rsid w:val="4E51451A"/>
    <w:rsid w:val="4EB73142"/>
    <w:rsid w:val="4EF614BA"/>
    <w:rsid w:val="4EF62402"/>
    <w:rsid w:val="4F35630A"/>
    <w:rsid w:val="4F362E18"/>
    <w:rsid w:val="4F540B41"/>
    <w:rsid w:val="4F547EAA"/>
    <w:rsid w:val="4F832885"/>
    <w:rsid w:val="4F9039FE"/>
    <w:rsid w:val="50211945"/>
    <w:rsid w:val="50437224"/>
    <w:rsid w:val="50490678"/>
    <w:rsid w:val="505A512C"/>
    <w:rsid w:val="508C2E3F"/>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EB3361"/>
    <w:rsid w:val="56F40954"/>
    <w:rsid w:val="56F72F30"/>
    <w:rsid w:val="570D256E"/>
    <w:rsid w:val="57301450"/>
    <w:rsid w:val="5753468B"/>
    <w:rsid w:val="575B3101"/>
    <w:rsid w:val="5760479D"/>
    <w:rsid w:val="576D43D6"/>
    <w:rsid w:val="5779650A"/>
    <w:rsid w:val="57F25C54"/>
    <w:rsid w:val="58037259"/>
    <w:rsid w:val="58164A86"/>
    <w:rsid w:val="58603614"/>
    <w:rsid w:val="58615E6E"/>
    <w:rsid w:val="58635793"/>
    <w:rsid w:val="588C11D6"/>
    <w:rsid w:val="58EF47AD"/>
    <w:rsid w:val="59033141"/>
    <w:rsid w:val="59491402"/>
    <w:rsid w:val="595C25C6"/>
    <w:rsid w:val="595F13E9"/>
    <w:rsid w:val="59785D4E"/>
    <w:rsid w:val="597E2527"/>
    <w:rsid w:val="599D32C2"/>
    <w:rsid w:val="59A84CD5"/>
    <w:rsid w:val="59CA0DF6"/>
    <w:rsid w:val="59E12D2E"/>
    <w:rsid w:val="59E56E97"/>
    <w:rsid w:val="59EE0B0E"/>
    <w:rsid w:val="5A1B27B8"/>
    <w:rsid w:val="5A41505E"/>
    <w:rsid w:val="5A60385B"/>
    <w:rsid w:val="5AC608F3"/>
    <w:rsid w:val="5ACA2411"/>
    <w:rsid w:val="5AE31485"/>
    <w:rsid w:val="5AF626D8"/>
    <w:rsid w:val="5AF62900"/>
    <w:rsid w:val="5AFC40F3"/>
    <w:rsid w:val="5B0D46E9"/>
    <w:rsid w:val="5B143AA9"/>
    <w:rsid w:val="5B22062D"/>
    <w:rsid w:val="5B2B355B"/>
    <w:rsid w:val="5B3E3090"/>
    <w:rsid w:val="5B736DFC"/>
    <w:rsid w:val="5B74248A"/>
    <w:rsid w:val="5B7C3A7D"/>
    <w:rsid w:val="5B8675CA"/>
    <w:rsid w:val="5BA652CD"/>
    <w:rsid w:val="5BA85902"/>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544536"/>
    <w:rsid w:val="5DCE771F"/>
    <w:rsid w:val="5DD3556C"/>
    <w:rsid w:val="5DEC3B70"/>
    <w:rsid w:val="5DF84369"/>
    <w:rsid w:val="5DF92DCB"/>
    <w:rsid w:val="5E245A90"/>
    <w:rsid w:val="5E280CB5"/>
    <w:rsid w:val="5E447267"/>
    <w:rsid w:val="5E4A572D"/>
    <w:rsid w:val="5E5667A6"/>
    <w:rsid w:val="5E676802"/>
    <w:rsid w:val="5E6C7C78"/>
    <w:rsid w:val="5E815CED"/>
    <w:rsid w:val="5E887A26"/>
    <w:rsid w:val="5EC56393"/>
    <w:rsid w:val="5EFE34A1"/>
    <w:rsid w:val="5F173FD8"/>
    <w:rsid w:val="5F3A1A66"/>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4A7B30"/>
    <w:rsid w:val="615F2C14"/>
    <w:rsid w:val="616C655B"/>
    <w:rsid w:val="616E381D"/>
    <w:rsid w:val="61992EFA"/>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94227F"/>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6032D9"/>
    <w:rsid w:val="65862CD9"/>
    <w:rsid w:val="6588686F"/>
    <w:rsid w:val="659E46D8"/>
    <w:rsid w:val="65A57048"/>
    <w:rsid w:val="65B50E5A"/>
    <w:rsid w:val="65D54781"/>
    <w:rsid w:val="65D923B7"/>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22487B"/>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CD31F6B"/>
    <w:rsid w:val="6CE25A08"/>
    <w:rsid w:val="6D380537"/>
    <w:rsid w:val="6D616216"/>
    <w:rsid w:val="6D932C97"/>
    <w:rsid w:val="6DA0648F"/>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851F7"/>
    <w:rsid w:val="72BD48D1"/>
    <w:rsid w:val="72C65D78"/>
    <w:rsid w:val="72D7336E"/>
    <w:rsid w:val="72FD0906"/>
    <w:rsid w:val="73795D74"/>
    <w:rsid w:val="739509FA"/>
    <w:rsid w:val="73A80755"/>
    <w:rsid w:val="73C4164C"/>
    <w:rsid w:val="73CC653A"/>
    <w:rsid w:val="73D159A1"/>
    <w:rsid w:val="73F35C20"/>
    <w:rsid w:val="73F8462A"/>
    <w:rsid w:val="741D2D43"/>
    <w:rsid w:val="74227141"/>
    <w:rsid w:val="745F4062"/>
    <w:rsid w:val="74DF558B"/>
    <w:rsid w:val="74E67F4E"/>
    <w:rsid w:val="74EE1D1B"/>
    <w:rsid w:val="74F826B3"/>
    <w:rsid w:val="75067D82"/>
    <w:rsid w:val="75152359"/>
    <w:rsid w:val="752955C7"/>
    <w:rsid w:val="75473AB6"/>
    <w:rsid w:val="755A639D"/>
    <w:rsid w:val="75612341"/>
    <w:rsid w:val="75CA48E7"/>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941310"/>
    <w:rsid w:val="77A82770"/>
    <w:rsid w:val="77BD7E72"/>
    <w:rsid w:val="77ED0386"/>
    <w:rsid w:val="77F72469"/>
    <w:rsid w:val="78366B8C"/>
    <w:rsid w:val="783B287A"/>
    <w:rsid w:val="78482C69"/>
    <w:rsid w:val="78B43B82"/>
    <w:rsid w:val="78BB76EA"/>
    <w:rsid w:val="78FB1BD1"/>
    <w:rsid w:val="79213328"/>
    <w:rsid w:val="7964511F"/>
    <w:rsid w:val="799E7491"/>
    <w:rsid w:val="799F3F47"/>
    <w:rsid w:val="79A72484"/>
    <w:rsid w:val="79BA471D"/>
    <w:rsid w:val="79DF005F"/>
    <w:rsid w:val="7A114E8A"/>
    <w:rsid w:val="7A1C5B1C"/>
    <w:rsid w:val="7A4653BA"/>
    <w:rsid w:val="7A765EEC"/>
    <w:rsid w:val="7A790CA9"/>
    <w:rsid w:val="7AAD04BC"/>
    <w:rsid w:val="7AB83F1D"/>
    <w:rsid w:val="7AD234FC"/>
    <w:rsid w:val="7AE2061C"/>
    <w:rsid w:val="7B002131"/>
    <w:rsid w:val="7B0864F6"/>
    <w:rsid w:val="7B1B16D3"/>
    <w:rsid w:val="7B2E6780"/>
    <w:rsid w:val="7B453576"/>
    <w:rsid w:val="7B5D217A"/>
    <w:rsid w:val="7B614801"/>
    <w:rsid w:val="7B684A54"/>
    <w:rsid w:val="7B913B86"/>
    <w:rsid w:val="7B97422A"/>
    <w:rsid w:val="7BA969F0"/>
    <w:rsid w:val="7BB31B68"/>
    <w:rsid w:val="7C194469"/>
    <w:rsid w:val="7C1A6CD5"/>
    <w:rsid w:val="7C2630F4"/>
    <w:rsid w:val="7C45471C"/>
    <w:rsid w:val="7C7F3629"/>
    <w:rsid w:val="7C8B7A6D"/>
    <w:rsid w:val="7C90110D"/>
    <w:rsid w:val="7C9B6AF6"/>
    <w:rsid w:val="7CA34622"/>
    <w:rsid w:val="7D2F6FF7"/>
    <w:rsid w:val="7D303FCF"/>
    <w:rsid w:val="7D332F6D"/>
    <w:rsid w:val="7D3D587B"/>
    <w:rsid w:val="7D4435DF"/>
    <w:rsid w:val="7D49035B"/>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chartTrackingRefBased/>
  <w15:docId w15:val="{7DCDBBE4-D93C-48BD-B1D4-A24110BD5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iPriority="0"/>
    <w:lsdException w:name="annotation text" w:uiPriority="0" w:unhideWhenUsed="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uiPriority="71"/>
    <w:lsdException w:name="Medium Grid 1 Accent 2" w:uiPriority="34"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uiPriority="71"/>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qFormat="1"/>
    <w:lsdException w:name="Medium Grid 2 Accent 3"/>
    <w:lsdException w:name="Medium Grid 3 Accent 3"/>
    <w:lsdException w:name="Dark List Accent 3" w:uiPriority="71"/>
    <w:lsdException w:name="Colorful Shading Accent 3" w:uiPriority="34" w:qFormat="1"/>
    <w:lsdException w:name="Colorful List Accent 3" w:qFormat="1"/>
    <w:lsdException w:name="Colorful Grid Accent 3" w:qFormat="1"/>
    <w:lsdException w:name="Light Shading Accent 4"/>
    <w:lsdException w:name="Light List Accent 4"/>
    <w:lsdException w:name="Light Grid Accent 4" w:qFormat="1"/>
    <w:lsdException w:name="Medium Shading 1 Accent 4"/>
    <w:lsdException w:name="Medium Shading 2 Accent 4"/>
    <w:lsdException w:name="Medium List 1 Accent 4" w:uiPriority="71"/>
    <w:lsdException w:name="Medium List 2 Accent 4" w:uiPriority="34" w:qFormat="1"/>
    <w:lsdException w:name="Medium Grid 1 Accent 4" w:qFormat="1"/>
    <w:lsdException w:name="Medium Grid 2 Accent 4" w:qFormat="1"/>
    <w:lsdException w:name="Medium Grid 3 Accent 4"/>
    <w:lsdException w:name="Dark List Accent 4"/>
    <w:lsdException w:name="Colorful Shading Accent 4" w:uiPriority="1" w:qFormat="1"/>
    <w:lsdException w:name="Colorful List Accent 4" w:uiPriority="60"/>
    <w:lsdException w:name="Colorful Grid Accent 4" w:uiPriority="61"/>
    <w:lsdException w:name="Light Shading Accent 5" w:uiPriority="71"/>
    <w:lsdException w:name="Light List Accent 5" w:uiPriority="34" w:qFormat="1"/>
    <w:lsdException w:name="Light Grid Accent 5" w:qFormat="1"/>
    <w:lsdException w:name="Medium Shading 1 Accent 5"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34" w:qFormat="1"/>
    <w:lsdException w:name="Colorful Shading Accent 5" w:qFormat="1"/>
    <w:lsdException w:name="Colorful List Accent 5" w:qFormat="1"/>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lsdException w:name="Medium List 1 Accent 6" w:uiPriority="34" w:qFormat="1"/>
    <w:lsdException w:name="Medium List 2 Accent 6" w:uiPriority="29" w:qFormat="1"/>
    <w:lsdException w:name="Medium Grid 1 Accent 6" w:uiPriority="30" w:qFormat="1"/>
    <w:lsdException w:name="Medium Grid 2 Accent 6" w:uiPriority="66"/>
    <w:lsdException w:name="Medium Grid 3 Accent 6" w:uiPriority="67"/>
    <w:lsdException w:name="Dark List Accent 6" w:uiPriority="68"/>
    <w:lsdException w:name="Colorful Shading Accent 6" w:uiPriority="69"/>
    <w:lsdException w:name="Colorful List Accent 6" w:uiPriority="70"/>
    <w:lsdException w:name="Colorful Grid Accent 6" w:uiPriority="7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rPr>
  </w:style>
  <w:style w:type="paragraph" w:styleId="Heading1">
    <w:name w:val="heading 1"/>
    <w:basedOn w:val="Normal"/>
    <w:next w:val="Normal"/>
    <w:link w:val="Heading1Char"/>
    <w:uiPriority w:val="99"/>
    <w:qFormat/>
    <w:pPr>
      <w:widowControl w:val="0"/>
      <w:numPr>
        <w:numId w:val="3"/>
      </w:numPr>
      <w:tabs>
        <w:tab w:val="left" w:pos="432"/>
      </w:tabs>
      <w:autoSpaceDE w:val="0"/>
      <w:autoSpaceDN w:val="0"/>
      <w:adjustRightInd w:val="0"/>
      <w:outlineLvl w:val="0"/>
    </w:pPr>
    <w:rPr>
      <w:rFonts w:ascii="Arial" w:eastAsia="黑体" w:hAnsi="Arial"/>
      <w:b/>
      <w:bCs/>
      <w:sz w:val="30"/>
      <w:szCs w:val="30"/>
      <w:lang w:val="zh-CN"/>
    </w:rPr>
  </w:style>
  <w:style w:type="paragraph" w:styleId="Heading2">
    <w:name w:val="heading 2"/>
    <w:basedOn w:val="Normal"/>
    <w:next w:val="Normal"/>
    <w:link w:val="Heading2Char"/>
    <w:qFormat/>
    <w:pPr>
      <w:keepNext/>
      <w:keepLines/>
      <w:spacing w:before="260" w:after="260" w:line="413" w:lineRule="auto"/>
      <w:outlineLvl w:val="1"/>
    </w:pPr>
    <w:rPr>
      <w:rFonts w:ascii="Arial" w:eastAsia="黑体" w:hAnsi="Arial"/>
      <w:b/>
      <w:sz w:val="32"/>
    </w:rPr>
  </w:style>
  <w:style w:type="paragraph" w:styleId="Heading3">
    <w:name w:val="heading 3"/>
    <w:basedOn w:val="Normal"/>
    <w:next w:val="Normal"/>
    <w:link w:val="Heading3Char"/>
    <w:uiPriority w:val="9"/>
    <w:qFormat/>
    <w:pPr>
      <w:keepNext/>
      <w:keepLines/>
      <w:numPr>
        <w:ilvl w:val="2"/>
        <w:numId w:val="3"/>
      </w:numPr>
      <w:tabs>
        <w:tab w:val="left" w:pos="720"/>
      </w:tabs>
      <w:spacing w:before="260" w:after="260" w:line="416" w:lineRule="auto"/>
      <w:outlineLvl w:val="2"/>
    </w:pPr>
    <w:rPr>
      <w:b/>
      <w:bCs/>
      <w:sz w:val="32"/>
      <w:szCs w:val="32"/>
    </w:rPr>
  </w:style>
  <w:style w:type="paragraph" w:styleId="Heading4">
    <w:name w:val="heading 4"/>
    <w:basedOn w:val="Normal"/>
    <w:next w:val="Normal"/>
    <w:qFormat/>
    <w:pPr>
      <w:ind w:left="1418" w:hanging="1418"/>
      <w:outlineLvl w:val="3"/>
    </w:pPr>
    <w:rPr>
      <w:sz w:val="24"/>
    </w:rPr>
  </w:style>
  <w:style w:type="paragraph" w:styleId="Heading5">
    <w:name w:val="heading 5"/>
    <w:basedOn w:val="Normal"/>
    <w:next w:val="Normal"/>
    <w:qFormat/>
    <w:pPr>
      <w:outlineLvl w:val="4"/>
    </w:pPr>
    <w:rPr>
      <w:rFonts w:ascii="宋体" w:hAnsi="宋体" w:hint="eastAsia"/>
      <w:b/>
      <w:color w:val="666666"/>
      <w:sz w:val="20"/>
      <w:szCs w:val="20"/>
    </w:rPr>
  </w:style>
  <w:style w:type="paragraph" w:styleId="Heading6">
    <w:name w:val="heading 6"/>
    <w:basedOn w:val="Normal"/>
    <w:next w:val="Normal"/>
    <w:link w:val="Heading6Char"/>
    <w:uiPriority w:val="9"/>
    <w:qFormat/>
    <w:pPr>
      <w:keepNext/>
      <w:keepLines/>
      <w:spacing w:before="240" w:after="64" w:line="317" w:lineRule="auto"/>
      <w:ind w:left="1151" w:hanging="1151"/>
      <w:outlineLvl w:val="5"/>
    </w:pPr>
    <w:rPr>
      <w:rFonts w:ascii="Arial" w:eastAsia="黑体" w:hAnsi="Arial"/>
      <w:b/>
      <w:sz w:val="24"/>
    </w:rPr>
  </w:style>
  <w:style w:type="paragraph" w:styleId="Heading7">
    <w:name w:val="heading 7"/>
    <w:basedOn w:val="Normal"/>
    <w:next w:val="Normal"/>
    <w:link w:val="Heading7Char"/>
    <w:uiPriority w:val="9"/>
    <w:qFormat/>
    <w:pPr>
      <w:keepNext/>
      <w:keepLines/>
      <w:spacing w:before="240" w:after="64" w:line="317" w:lineRule="auto"/>
      <w:ind w:left="1296" w:hanging="1296"/>
      <w:outlineLvl w:val="6"/>
    </w:pPr>
    <w:rPr>
      <w:rFonts w:ascii="Calibri" w:hAnsi="Calibri"/>
      <w:b/>
      <w:sz w:val="24"/>
    </w:rPr>
  </w:style>
  <w:style w:type="paragraph" w:styleId="Heading8">
    <w:name w:val="heading 8"/>
    <w:basedOn w:val="Normal"/>
    <w:next w:val="Normal"/>
    <w:link w:val="Heading8Char"/>
    <w:uiPriority w:val="9"/>
    <w:qFormat/>
    <w:pPr>
      <w:keepNext/>
      <w:keepLines/>
      <w:spacing w:before="240" w:after="64" w:line="317" w:lineRule="auto"/>
      <w:ind w:left="1440" w:hanging="1440"/>
      <w:outlineLvl w:val="7"/>
    </w:pPr>
    <w:rPr>
      <w:rFonts w:ascii="Arial" w:eastAsia="黑体" w:hAnsi="Arial"/>
      <w:sz w:val="24"/>
    </w:rPr>
  </w:style>
  <w:style w:type="paragraph" w:styleId="Heading9">
    <w:name w:val="heading 9"/>
    <w:basedOn w:val="Normal"/>
    <w:next w:val="Normal"/>
    <w:link w:val="Heading9Char"/>
    <w:uiPriority w:val="9"/>
    <w:qFormat/>
    <w:pPr>
      <w:keepNext/>
      <w:keepLines/>
      <w:spacing w:before="240" w:after="64" w:line="317" w:lineRule="auto"/>
      <w:ind w:left="1583" w:hanging="1583"/>
      <w:outlineLvl w:val="8"/>
    </w:pPr>
    <w:rPr>
      <w:rFonts w:ascii="Arial" w:eastAsia="黑体" w:hAnsi="Arial"/>
      <w:sz w:val="21"/>
    </w:rPr>
  </w:style>
  <w:style w:type="character" w:default="1" w:styleId="DefaultParagraphFont">
    <w:name w:val="Default Paragraph Font"/>
    <w:uiPriority w:val="1"/>
    <w:unhideWhenUsed/>
  </w:style>
  <w:style w:type="table" w:default="1" w:styleId="TableNormal">
    <w:name w:val="Normal Table"/>
    <w:uiPriority w:val="99"/>
    <w:unhideWhenUsed/>
    <w:qFormat/>
    <w:tblPr>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
    <w:name w:val="def"/>
    <w:basedOn w:val="DefaultParagraphFont"/>
  </w:style>
  <w:style w:type="character" w:customStyle="1" w:styleId="MediumGrid1-Accent2Char">
    <w:name w:val="Medium Grid 1 - Accent 2 Char"/>
    <w:aliases w:val="- Bullets Char,목록 단락 Char,リスト段落 Char,列出段落 Char,Lista1 Char,?? ?? Char,????? Char,???? Char"/>
    <w:link w:val="MediumGrid1-Accent21"/>
    <w:uiPriority w:val="34"/>
    <w:qFormat/>
    <w:rPr>
      <w:sz w:val="22"/>
      <w:szCs w:val="22"/>
    </w:rPr>
  </w:style>
  <w:style w:type="character" w:customStyle="1" w:styleId="maintextChar">
    <w:name w:val="main text Char"/>
    <w:link w:val="maintext"/>
    <w:rPr>
      <w:rFonts w:ascii="Times New Roman" w:eastAsia="Malgun Gothic" w:hAnsi="Times New Roman"/>
      <w:lang w:val="en-GB" w:eastAsia="ko-KR"/>
    </w:rPr>
  </w:style>
  <w:style w:type="character" w:customStyle="1" w:styleId="apple-converted-space">
    <w:name w:val="apple-converted-space"/>
    <w:basedOn w:val="DefaultParagraphFont"/>
  </w:style>
  <w:style w:type="character" w:customStyle="1" w:styleId="Heading9Char">
    <w:name w:val="Heading 9 Char"/>
    <w:link w:val="Heading9"/>
    <w:uiPriority w:val="9"/>
    <w:rPr>
      <w:rFonts w:ascii="Arial" w:eastAsia="黑体" w:hAnsi="Arial"/>
      <w:sz w:val="21"/>
      <w:szCs w:val="22"/>
    </w:rPr>
  </w:style>
  <w:style w:type="character" w:customStyle="1" w:styleId="CommentSubjectChar">
    <w:name w:val="Comment Subject Char"/>
    <w:link w:val="CommentSubject"/>
    <w:uiPriority w:val="99"/>
    <w:semiHidden/>
    <w:rPr>
      <w:b/>
      <w:bCs/>
    </w:rPr>
  </w:style>
  <w:style w:type="character" w:customStyle="1" w:styleId="bullet3Char">
    <w:name w:val="bullet3 Char"/>
    <w:link w:val="bullet3"/>
    <w:rPr>
      <w:rFonts w:ascii="Times" w:eastAsia="Batang" w:hAnsi="Times"/>
      <w:szCs w:val="24"/>
      <w:lang w:val="en-GB" w:eastAsia="en-US"/>
    </w:rPr>
  </w:style>
  <w:style w:type="character" w:customStyle="1" w:styleId="ListParagraphChar">
    <w:name w:val="List Paragraph Char"/>
    <w:link w:val="ListParagraph"/>
    <w:uiPriority w:val="34"/>
    <w:qFormat/>
    <w:rPr>
      <w:rFonts w:eastAsia="Malgun Gothic"/>
      <w:lang w:val="en-GB"/>
    </w:rPr>
  </w:style>
  <w:style w:type="character" w:customStyle="1" w:styleId="BalloonTextChar">
    <w:name w:val="Balloon Text Char"/>
    <w:link w:val="BalloonText"/>
    <w:uiPriority w:val="99"/>
    <w:semiHidden/>
    <w:rPr>
      <w:rFonts w:ascii="Tahoma" w:hAnsi="Tahoma" w:cs="Tahoma"/>
      <w:sz w:val="16"/>
      <w:szCs w:val="16"/>
    </w:rPr>
  </w:style>
  <w:style w:type="character" w:styleId="FollowedHyperlink">
    <w:name w:val="FollowedHyperlink"/>
    <w:uiPriority w:val="99"/>
    <w:unhideWhenUsed/>
    <w:rPr>
      <w:color w:val="2779B6"/>
      <w:u w:val="single"/>
    </w:rPr>
  </w:style>
  <w:style w:type="character" w:customStyle="1" w:styleId="ZGSM">
    <w:name w:val="ZGSM"/>
  </w:style>
  <w:style w:type="character" w:customStyle="1" w:styleId="Heading2Char">
    <w:name w:val="Heading 2 Char"/>
    <w:link w:val="Heading2"/>
    <w:rPr>
      <w:rFonts w:ascii="Arial" w:eastAsia="黑体" w:hAnsi="Arial"/>
      <w:b/>
      <w:sz w:val="32"/>
      <w:szCs w:val="22"/>
    </w:rPr>
  </w:style>
  <w:style w:type="character" w:customStyle="1" w:styleId="Heading1Char">
    <w:name w:val="Heading 1 Char"/>
    <w:link w:val="Heading1"/>
    <w:uiPriority w:val="99"/>
    <w:rPr>
      <w:rFonts w:ascii="Arial" w:eastAsia="黑体" w:hAnsi="Arial"/>
      <w:b/>
      <w:bCs/>
      <w:sz w:val="30"/>
      <w:szCs w:val="30"/>
      <w:lang w:val="zh-CN"/>
    </w:rPr>
  </w:style>
  <w:style w:type="character" w:styleId="Strong">
    <w:name w:val="Strong"/>
    <w:uiPriority w:val="22"/>
    <w:qFormat/>
    <w:rPr>
      <w:b/>
    </w:rPr>
  </w:style>
  <w:style w:type="character" w:styleId="Emphasis">
    <w:name w:val="Emphasis"/>
    <w:uiPriority w:val="20"/>
    <w:qFormat/>
    <w:rPr>
      <w:i/>
    </w:rPr>
  </w:style>
  <w:style w:type="character" w:customStyle="1" w:styleId="pos">
    <w:name w:val="pos"/>
    <w:basedOn w:val="DefaultParagraphFont"/>
  </w:style>
  <w:style w:type="character" w:styleId="CommentReference">
    <w:name w:val="annotation reference"/>
    <w:unhideWhenUsed/>
    <w:qFormat/>
    <w:rPr>
      <w:sz w:val="16"/>
      <w:szCs w:val="16"/>
    </w:rPr>
  </w:style>
  <w:style w:type="character" w:styleId="Hyperlink">
    <w:name w:val="Hyperlink"/>
    <w:uiPriority w:val="99"/>
    <w:unhideWhenUsed/>
    <w:rPr>
      <w:color w:val="2779B6"/>
      <w:u w:val="single"/>
    </w:rPr>
  </w:style>
  <w:style w:type="character" w:customStyle="1" w:styleId="NormalwithindentChar">
    <w:name w:val="Normal with indent Char"/>
    <w:link w:val="Normalwithindent"/>
    <w:rPr>
      <w:rFonts w:ascii="Times New Roman" w:eastAsia="Malgun Gothic" w:hAnsi="Times New Roman"/>
      <w:lang w:val="en-GB" w:eastAsia="ko-KR"/>
    </w:rPr>
  </w:style>
  <w:style w:type="character" w:customStyle="1" w:styleId="word">
    <w:name w:val="word"/>
    <w:basedOn w:val="DefaultParagraphFont"/>
  </w:style>
  <w:style w:type="character" w:customStyle="1" w:styleId="CaptionChar1">
    <w:name w:val="Caption Char1"/>
    <w:aliases w:val="cap Char1,cap Char Char,Caption Char Char,Caption Char1 Char Char,cap Char Char1 Char,Caption Char Char1 Char Char,cap Char2 Char,cap1 Char,cap2 Char,cap11 Char,Caption Char2 Char,Caption Char Char Char Char,Caption Char Char1 Char1"/>
    <w:rPr>
      <w:rFonts w:ascii="Times New Roman" w:hAnsi="Times New Roman"/>
      <w:b/>
      <w:bCs/>
      <w:lang w:val="en-GB" w:eastAsia="sv-SE"/>
    </w:rPr>
  </w:style>
  <w:style w:type="character" w:styleId="FootnoteReference">
    <w:name w:val="footnote reference"/>
    <w:semiHidden/>
    <w:rPr>
      <w:b/>
      <w:position w:val="6"/>
      <w:sz w:val="16"/>
    </w:rPr>
  </w:style>
  <w:style w:type="character" w:customStyle="1" w:styleId="Heading7Char">
    <w:name w:val="Heading 7 Char"/>
    <w:link w:val="Heading7"/>
    <w:uiPriority w:val="9"/>
    <w:rPr>
      <w:rFonts w:ascii="Calibri" w:hAnsi="Calibri"/>
      <w:b/>
      <w:sz w:val="24"/>
      <w:szCs w:val="22"/>
    </w:rPr>
  </w:style>
  <w:style w:type="character" w:customStyle="1" w:styleId="Heading3Char">
    <w:name w:val="Heading 3 Char"/>
    <w:link w:val="Heading3"/>
    <w:uiPriority w:val="9"/>
    <w:rPr>
      <w:b/>
      <w:bCs/>
      <w:sz w:val="32"/>
      <w:szCs w:val="32"/>
    </w:rPr>
  </w:style>
  <w:style w:type="character" w:customStyle="1" w:styleId="Heading6Char">
    <w:name w:val="Heading 6 Char"/>
    <w:link w:val="Heading6"/>
    <w:uiPriority w:val="9"/>
    <w:rPr>
      <w:rFonts w:ascii="Arial" w:eastAsia="黑体" w:hAnsi="Arial"/>
      <w:b/>
      <w:sz w:val="24"/>
      <w:szCs w:val="22"/>
    </w:rPr>
  </w:style>
  <w:style w:type="character" w:customStyle="1" w:styleId="TALChar">
    <w:name w:val="TAL Char"/>
    <w:link w:val="TAL"/>
    <w:locked/>
    <w:rPr>
      <w:rFonts w:ascii="Arial" w:hAnsi="Arial"/>
      <w:sz w:val="18"/>
      <w:lang w:val="en-GB" w:eastAsia="en-US"/>
    </w:rPr>
  </w:style>
  <w:style w:type="character" w:customStyle="1" w:styleId="apple-style-span">
    <w:name w:val="apple-style-span"/>
    <w:basedOn w:val="DefaultParagraphFont"/>
  </w:style>
  <w:style w:type="character" w:customStyle="1" w:styleId="DocumentMapChar">
    <w:name w:val="Document Map Char"/>
    <w:link w:val="DocumentMap"/>
    <w:uiPriority w:val="99"/>
    <w:semiHidden/>
    <w:rPr>
      <w:rFonts w:ascii="宋体"/>
      <w:sz w:val="18"/>
      <w:szCs w:val="18"/>
    </w:rPr>
  </w:style>
  <w:style w:type="character" w:customStyle="1" w:styleId="B1">
    <w:name w:val="B1 (文字)"/>
    <w:link w:val="B10"/>
    <w:uiPriority w:val="99"/>
    <w:locked/>
    <w:rPr>
      <w:rFonts w:ascii="Times New Roman" w:eastAsia="宋体" w:hAnsi="Times New Roman"/>
      <w:lang w:val="en-GB" w:eastAsia="en-US"/>
    </w:rPr>
  </w:style>
  <w:style w:type="character" w:customStyle="1" w:styleId="1-2Char">
    <w:name w:val="中等深浅网格 1 - 强调文字颜色 2 Char"/>
    <w:uiPriority w:val="34"/>
    <w:locked/>
    <w:rPr>
      <w:rFonts w:ascii="Times New Roman" w:hAnsi="Times New Roman"/>
      <w:kern w:val="2"/>
      <w:sz w:val="21"/>
      <w:szCs w:val="24"/>
    </w:rPr>
  </w:style>
  <w:style w:type="character" w:customStyle="1" w:styleId="textChar">
    <w:name w:val="text Char"/>
    <w:link w:val="text"/>
    <w:rPr>
      <w:rFonts w:ascii="Calibri" w:hAnsi="Calibri"/>
      <w:kern w:val="2"/>
      <w:sz w:val="24"/>
    </w:rPr>
  </w:style>
  <w:style w:type="character" w:customStyle="1" w:styleId="CaptionChar">
    <w:name w:val="Caption Char"/>
    <w:link w:val="Caption"/>
    <w:qFormat/>
    <w:rPr>
      <w:rFonts w:ascii="Times New Roman" w:hAnsi="Times New Roman"/>
      <w:b/>
      <w:bCs/>
      <w:lang w:val="en-GB" w:eastAsia="sv-SE"/>
    </w:rPr>
  </w:style>
  <w:style w:type="character" w:customStyle="1" w:styleId="B1Zchn">
    <w:name w:val="B1 Zchn"/>
    <w:rPr>
      <w:rFonts w:eastAsia="宋体"/>
      <w:lang w:val="en-GB" w:eastAsia="en-US"/>
    </w:rPr>
  </w:style>
  <w:style w:type="character" w:customStyle="1" w:styleId="bullet1Char">
    <w:name w:val="bullet1 Char"/>
    <w:link w:val="bullet1"/>
    <w:rPr>
      <w:rFonts w:ascii="Calibri" w:hAnsi="Calibri"/>
      <w:kern w:val="2"/>
      <w:sz w:val="24"/>
      <w:szCs w:val="24"/>
      <w:lang w:val="en-GB"/>
    </w:rPr>
  </w:style>
  <w:style w:type="character" w:customStyle="1" w:styleId="Heading8Char">
    <w:name w:val="Heading 8 Char"/>
    <w:link w:val="Heading8"/>
    <w:uiPriority w:val="9"/>
    <w:rPr>
      <w:rFonts w:ascii="Arial" w:eastAsia="黑体" w:hAnsi="Arial"/>
      <w:sz w:val="24"/>
      <w:szCs w:val="22"/>
    </w:rPr>
  </w:style>
  <w:style w:type="character" w:customStyle="1" w:styleId="CommentTextChar">
    <w:name w:val="Comment Text Char"/>
    <w:basedOn w:val="DefaultParagraphFont"/>
    <w:link w:val="CommentText"/>
    <w:uiPriority w:val="99"/>
  </w:style>
  <w:style w:type="character" w:customStyle="1" w:styleId="TACChar">
    <w:name w:val="TAC Char"/>
    <w:link w:val="TAC"/>
    <w:rPr>
      <w:rFonts w:ascii="Arial" w:eastAsia="Times New Roman" w:hAnsi="Arial"/>
      <w:sz w:val="18"/>
      <w:lang w:val="en-GB" w:eastAsia="en-GB"/>
    </w:rPr>
  </w:style>
  <w:style w:type="character" w:customStyle="1" w:styleId="THChar">
    <w:name w:val="TH Char"/>
    <w:link w:val="TH"/>
    <w:qFormat/>
    <w:rPr>
      <w:rFonts w:ascii="Arial" w:hAnsi="Arial"/>
      <w:b/>
      <w:lang w:val="en-GB" w:eastAsia="en-US"/>
    </w:rPr>
  </w:style>
  <w:style w:type="character" w:customStyle="1" w:styleId="BodyTextChar">
    <w:name w:val="Body Text Char"/>
    <w:link w:val="BodyText"/>
    <w:rPr>
      <w:rFonts w:ascii="Times New Roman" w:hAnsi="Times New Roman"/>
      <w:color w:val="0000FF"/>
      <w:kern w:val="2"/>
      <w:sz w:val="21"/>
    </w:rPr>
  </w:style>
  <w:style w:type="character" w:customStyle="1" w:styleId="high-light">
    <w:name w:val="high-light"/>
    <w:basedOn w:val="DefaultParagraphFont"/>
  </w:style>
  <w:style w:type="character" w:customStyle="1" w:styleId="FootnoteTextChar">
    <w:name w:val="Footnote Text Char"/>
    <w:link w:val="FootnoteText"/>
    <w:semiHidden/>
    <w:rPr>
      <w:rFonts w:ascii="Times" w:eastAsia="Batang" w:hAnsi="Times"/>
      <w:lang w:eastAsia="en-US"/>
    </w:rPr>
  </w:style>
  <w:style w:type="character" w:customStyle="1" w:styleId="HeaderChar">
    <w:name w:val="Header Char"/>
    <w:link w:val="Header"/>
    <w:rPr>
      <w:rFonts w:ascii="Arial" w:eastAsia="MS Mincho" w:hAnsi="Arial"/>
      <w:b/>
      <w:szCs w:val="24"/>
      <w:lang w:eastAsia="en-US"/>
    </w:rPr>
  </w:style>
  <w:style w:type="character" w:customStyle="1" w:styleId="bullet2Char">
    <w:name w:val="bullet2 Char"/>
    <w:link w:val="bullet2"/>
    <w:rPr>
      <w:rFonts w:ascii="Times" w:hAnsi="Times"/>
      <w:kern w:val="2"/>
      <w:sz w:val="24"/>
      <w:szCs w:val="24"/>
      <w:lang w:val="en-GB"/>
    </w:rPr>
  </w:style>
  <w:style w:type="paragraph" w:customStyle="1" w:styleId="RAN1bullet2">
    <w:name w:val="RAN1 bullet2"/>
    <w:basedOn w:val="Normal"/>
    <w:qFormat/>
    <w:pPr>
      <w:numPr>
        <w:ilvl w:val="1"/>
        <w:numId w:val="1"/>
      </w:numPr>
      <w:tabs>
        <w:tab w:val="left" w:pos="1440"/>
      </w:tabs>
    </w:pPr>
    <w:rPr>
      <w:szCs w:val="20"/>
    </w:rPr>
  </w:style>
  <w:style w:type="paragraph" w:styleId="Footer">
    <w:name w:val="footer"/>
    <w:basedOn w:val="Normal"/>
    <w:pPr>
      <w:tabs>
        <w:tab w:val="center" w:pos="4153"/>
        <w:tab w:val="right" w:pos="8306"/>
      </w:tabs>
      <w:snapToGrid w:val="0"/>
    </w:pPr>
    <w:rPr>
      <w:sz w:val="18"/>
      <w:szCs w:val="18"/>
    </w:rPr>
  </w:style>
  <w:style w:type="paragraph" w:customStyle="1" w:styleId="RAN1text">
    <w:name w:val="RAN1 text"/>
    <w:basedOn w:val="BodyText"/>
    <w:qFormat/>
    <w:rPr>
      <w:rFonts w:eastAsia="MS Mincho"/>
    </w:rPr>
  </w:style>
  <w:style w:type="paragraph" w:customStyle="1" w:styleId="EQ">
    <w:name w:val="EQ"/>
    <w:basedOn w:val="Normal"/>
    <w:next w:val="Normal"/>
    <w:pPr>
      <w:keepLines/>
      <w:tabs>
        <w:tab w:val="center" w:pos="4536"/>
        <w:tab w:val="right" w:pos="9072"/>
      </w:tabs>
      <w:spacing w:after="180"/>
    </w:pPr>
    <w:rPr>
      <w:sz w:val="20"/>
      <w:szCs w:val="20"/>
      <w:lang w:val="en-GB" w:eastAsia="en-US"/>
    </w:rPr>
  </w:style>
  <w:style w:type="paragraph" w:customStyle="1" w:styleId="bullet1">
    <w:name w:val="bullet1"/>
    <w:basedOn w:val="text"/>
    <w:link w:val="bullet1Char"/>
    <w:qFormat/>
    <w:pPr>
      <w:widowControl/>
      <w:numPr>
        <w:numId w:val="2"/>
      </w:numPr>
      <w:spacing w:after="0"/>
      <w:jc w:val="left"/>
    </w:pPr>
    <w:rPr>
      <w:szCs w:val="24"/>
      <w:lang w:val="en-GB"/>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paragraph" w:customStyle="1" w:styleId="ColorfulList-Accent11">
    <w:name w:val="Colorful List - Accent 11"/>
    <w:basedOn w:val="Normal"/>
    <w:uiPriority w:val="99"/>
    <w:pPr>
      <w:widowControl w:val="0"/>
      <w:ind w:firstLineChars="200" w:firstLine="420"/>
      <w:jc w:val="both"/>
    </w:pPr>
    <w:rPr>
      <w:kern w:val="2"/>
      <w:sz w:val="21"/>
      <w:szCs w:val="24"/>
    </w:rPr>
  </w:style>
  <w:style w:type="paragraph" w:styleId="FootnoteText">
    <w:name w:val="footnote text"/>
    <w:basedOn w:val="Normal"/>
    <w:link w:val="FootnoteTextChar"/>
    <w:semiHidden/>
    <w:pPr>
      <w:jc w:val="both"/>
    </w:pPr>
    <w:rPr>
      <w:rFonts w:ascii="Times" w:eastAsia="Batang" w:hAnsi="Times"/>
      <w:sz w:val="20"/>
      <w:szCs w:val="20"/>
      <w:lang w:eastAsia="en-US"/>
    </w:rPr>
  </w:style>
  <w:style w:type="paragraph" w:styleId="CommentSubject">
    <w:name w:val="annotation subject"/>
    <w:basedOn w:val="CommentText"/>
    <w:next w:val="CommentText"/>
    <w:link w:val="CommentSubjectChar"/>
    <w:uiPriority w:val="99"/>
    <w:unhideWhenUsed/>
    <w:rPr>
      <w:b/>
      <w:bCs/>
    </w:rPr>
  </w:style>
  <w:style w:type="paragraph" w:customStyle="1" w:styleId="Style1">
    <w:name w:val="_Style 1"/>
    <w:uiPriority w:val="99"/>
    <w:qFormat/>
    <w:rPr>
      <w:sz w:val="22"/>
      <w:szCs w:val="22"/>
    </w:rPr>
  </w:style>
  <w:style w:type="paragraph" w:customStyle="1" w:styleId="LGTdoc1">
    <w:name w:val="LGTdoc_제목1"/>
    <w:basedOn w:val="Normal"/>
    <w:pPr>
      <w:adjustRightInd w:val="0"/>
      <w:snapToGrid w:val="0"/>
      <w:spacing w:beforeLines="50" w:after="100" w:afterAutospacing="1"/>
      <w:jc w:val="both"/>
    </w:pPr>
    <w:rPr>
      <w:rFonts w:eastAsia="Batang"/>
      <w:b/>
      <w:snapToGrid w:val="0"/>
      <w:sz w:val="28"/>
      <w:szCs w:val="20"/>
      <w:lang w:val="en-GB" w:eastAsia="ko-KR"/>
    </w:rPr>
  </w:style>
  <w:style w:type="paragraph" w:styleId="DocumentMap">
    <w:name w:val="Document Map"/>
    <w:basedOn w:val="Normal"/>
    <w:link w:val="DocumentMapChar"/>
    <w:uiPriority w:val="99"/>
    <w:unhideWhenUsed/>
    <w:rPr>
      <w:rFonts w:ascii="宋体"/>
      <w:sz w:val="18"/>
      <w:szCs w:val="18"/>
    </w:rPr>
  </w:style>
  <w:style w:type="paragraph" w:styleId="Header">
    <w:name w:val="header"/>
    <w:basedOn w:val="Normal"/>
    <w:link w:val="HeaderChar"/>
    <w:pPr>
      <w:tabs>
        <w:tab w:val="center" w:pos="4536"/>
        <w:tab w:val="right" w:pos="9072"/>
      </w:tabs>
    </w:pPr>
    <w:rPr>
      <w:rFonts w:ascii="Arial" w:eastAsia="MS Mincho" w:hAnsi="Arial"/>
      <w:b/>
      <w:sz w:val="20"/>
      <w:szCs w:val="24"/>
      <w:lang w:eastAsia="en-US"/>
    </w:rPr>
  </w:style>
  <w:style w:type="paragraph" w:styleId="NoSpacing">
    <w:name w:val="No Spacing"/>
    <w:uiPriority w:val="1"/>
    <w:qFormat/>
    <w:rPr>
      <w:rFonts w:ascii="Calibri" w:hAnsi="Calibri"/>
      <w:sz w:val="22"/>
      <w:szCs w:val="22"/>
    </w:rPr>
  </w:style>
  <w:style w:type="paragraph" w:customStyle="1" w:styleId="PaperTableCell">
    <w:name w:val="PaperTableCell"/>
    <w:basedOn w:val="Normal"/>
    <w:pPr>
      <w:jc w:val="both"/>
    </w:pPr>
    <w:rPr>
      <w:rFonts w:eastAsia="Times New Roman"/>
      <w:sz w:val="16"/>
      <w:szCs w:val="24"/>
      <w:lang w:eastAsia="en-US"/>
    </w:rPr>
  </w:style>
  <w:style w:type="paragraph" w:styleId="BodyText">
    <w:name w:val="Body Text"/>
    <w:basedOn w:val="Normal"/>
    <w:link w:val="BodyTextChar"/>
    <w:pPr>
      <w:widowControl w:val="0"/>
      <w:jc w:val="both"/>
    </w:pPr>
    <w:rPr>
      <w:color w:val="0000FF"/>
      <w:kern w:val="2"/>
      <w:sz w:val="21"/>
      <w:szCs w:val="20"/>
    </w:rPr>
  </w:style>
  <w:style w:type="paragraph" w:styleId="List">
    <w:name w:val="List"/>
    <w:basedOn w:val="Normal"/>
    <w:uiPriority w:val="99"/>
    <w:unhideWhenUsed/>
    <w:pPr>
      <w:ind w:left="200" w:hangingChars="200" w:hanging="200"/>
      <w:contextualSpacing/>
    </w:pPr>
  </w:style>
  <w:style w:type="paragraph" w:customStyle="1" w:styleId="MediumShading1-Accent11">
    <w:name w:val="Medium Shading 1 - Accent 11"/>
    <w:uiPriority w:val="99"/>
    <w:qFormat/>
    <w:rPr>
      <w:sz w:val="22"/>
      <w:szCs w:val="22"/>
    </w:rPr>
  </w:style>
  <w:style w:type="paragraph" w:styleId="Caption">
    <w:name w:val="caption"/>
    <w:basedOn w:val="Normal"/>
    <w:next w:val="Normal"/>
    <w:link w:val="CaptionChar"/>
    <w:qFormat/>
    <w:pPr>
      <w:tabs>
        <w:tab w:val="left" w:pos="1418"/>
      </w:tabs>
      <w:spacing w:before="120" w:after="120"/>
    </w:pPr>
    <w:rPr>
      <w:b/>
      <w:bCs/>
      <w:sz w:val="20"/>
      <w:szCs w:val="20"/>
      <w:lang w:val="en-GB" w:eastAsia="sv-SE"/>
    </w:rPr>
  </w:style>
  <w:style w:type="paragraph" w:styleId="BalloonText">
    <w:name w:val="Balloon Text"/>
    <w:basedOn w:val="Normal"/>
    <w:link w:val="BalloonTextChar"/>
    <w:uiPriority w:val="99"/>
    <w:unhideWhenUsed/>
    <w:rPr>
      <w:rFonts w:ascii="Tahoma" w:hAnsi="Tahoma"/>
      <w:sz w:val="16"/>
      <w:szCs w:val="16"/>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paragraph" w:customStyle="1" w:styleId="TAC">
    <w:name w:val="TAC"/>
    <w:basedOn w:val="TAL"/>
    <w:link w:val="TACChar"/>
    <w:pPr>
      <w:overflowPunct w:val="0"/>
      <w:autoSpaceDE w:val="0"/>
      <w:autoSpaceDN w:val="0"/>
      <w:adjustRightInd w:val="0"/>
      <w:jc w:val="center"/>
      <w:textAlignment w:val="baseline"/>
    </w:pPr>
    <w:rPr>
      <w:rFonts w:eastAsia="Times New Roman"/>
      <w:lang w:eastAsia="en-GB"/>
    </w:rPr>
  </w:style>
  <w:style w:type="paragraph" w:customStyle="1" w:styleId="-11">
    <w:name w:val="彩色列表 - 强调文字颜色 11"/>
    <w:basedOn w:val="Normal"/>
    <w:uiPriority w:val="34"/>
    <w:qFormat/>
    <w:pPr>
      <w:widowControl w:val="0"/>
      <w:ind w:firstLineChars="200" w:firstLine="420"/>
      <w:jc w:val="both"/>
    </w:pPr>
    <w:rPr>
      <w:kern w:val="2"/>
      <w:sz w:val="21"/>
    </w:rPr>
  </w:style>
  <w:style w:type="paragraph" w:customStyle="1" w:styleId="Style2">
    <w:name w:val="_Style 2"/>
    <w:uiPriority w:val="99"/>
    <w:qFormat/>
    <w:rPr>
      <w:sz w:val="22"/>
      <w:szCs w:val="22"/>
    </w:rPr>
  </w:style>
  <w:style w:type="paragraph" w:styleId="NormalWeb">
    <w:name w:val="Normal (Web)"/>
    <w:basedOn w:val="Normal"/>
    <w:uiPriority w:val="99"/>
    <w:unhideWhenUsed/>
    <w:pPr>
      <w:spacing w:before="100" w:beforeAutospacing="1" w:after="100" w:afterAutospacing="1"/>
    </w:pPr>
    <w:rPr>
      <w:rFonts w:ascii="宋体" w:hAnsi="宋体" w:cs="宋体"/>
      <w:sz w:val="24"/>
      <w:szCs w:val="24"/>
    </w:rPr>
  </w:style>
  <w:style w:type="paragraph" w:styleId="NormalIndent">
    <w:name w:val="Normal Indent"/>
    <w:basedOn w:val="Normal"/>
    <w:pPr>
      <w:widowControl w:val="0"/>
      <w:ind w:firstLine="420"/>
      <w:jc w:val="both"/>
    </w:pPr>
    <w:rPr>
      <w:kern w:val="2"/>
      <w:sz w:val="21"/>
      <w:szCs w:val="20"/>
    </w:rPr>
  </w:style>
  <w:style w:type="paragraph" w:customStyle="1" w:styleId="RAN1bullet3">
    <w:name w:val="RAN1 bullet3"/>
    <w:basedOn w:val="RAN1bullet2"/>
    <w:qFormat/>
    <w:pPr>
      <w:numPr>
        <w:ilvl w:val="2"/>
        <w:numId w:val="4"/>
      </w:numPr>
    </w:pPr>
  </w:style>
  <w:style w:type="paragraph" w:styleId="CommentText">
    <w:name w:val="annotation text"/>
    <w:basedOn w:val="Normal"/>
    <w:link w:val="CommentTextChar"/>
    <w:unhideWhenUsed/>
    <w:rPr>
      <w:sz w:val="20"/>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TH">
    <w:name w:val="TH"/>
    <w:basedOn w:val="Normal"/>
    <w:link w:val="THChar"/>
    <w:qFormat/>
    <w:pPr>
      <w:keepNext/>
      <w:keepLines/>
      <w:spacing w:before="60" w:after="180"/>
      <w:jc w:val="center"/>
    </w:pPr>
    <w:rPr>
      <w:rFonts w:ascii="Arial" w:hAnsi="Arial"/>
      <w:b/>
      <w:sz w:val="20"/>
      <w:szCs w:val="20"/>
      <w:lang w:val="en-GB" w:eastAsia="en-US"/>
    </w:rPr>
  </w:style>
  <w:style w:type="paragraph" w:customStyle="1" w:styleId="TF">
    <w:name w:val="TF"/>
    <w:basedOn w:val="TH"/>
    <w:pPr>
      <w:keepNext w:val="0"/>
      <w:overflowPunct w:val="0"/>
      <w:autoSpaceDE w:val="0"/>
      <w:autoSpaceDN w:val="0"/>
      <w:adjustRightInd w:val="0"/>
      <w:spacing w:before="0" w:after="240"/>
      <w:textAlignment w:val="baseline"/>
    </w:pPr>
    <w:rPr>
      <w:rFonts w:eastAsia="Times New Roman"/>
      <w:lang w:eastAsia="ja-JP"/>
    </w:rPr>
  </w:style>
  <w:style w:type="paragraph" w:customStyle="1" w:styleId="bullet3">
    <w:name w:val="bullet3"/>
    <w:basedOn w:val="text"/>
    <w:link w:val="bullet3Char"/>
    <w:qFormat/>
    <w:pPr>
      <w:widowControl/>
      <w:numPr>
        <w:ilvl w:val="2"/>
        <w:numId w:val="2"/>
      </w:numPr>
      <w:spacing w:after="0"/>
      <w:jc w:val="left"/>
    </w:pPr>
    <w:rPr>
      <w:rFonts w:ascii="Times" w:eastAsia="Batang" w:hAnsi="Times"/>
      <w:kern w:val="0"/>
      <w:sz w:val="20"/>
      <w:szCs w:val="24"/>
      <w:lang w:val="en-GB" w:eastAsia="en-US"/>
    </w:rPr>
  </w:style>
  <w:style w:type="paragraph" w:customStyle="1" w:styleId="RAN1bullet1">
    <w:name w:val="RAN1 bullet1"/>
    <w:basedOn w:val="Normal"/>
    <w:qFormat/>
    <w:pPr>
      <w:numPr>
        <w:numId w:val="5"/>
      </w:numPr>
    </w:p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oSpacing1">
    <w:name w:val="No Spacing1"/>
    <w:uiPriority w:val="1"/>
    <w:qFormat/>
    <w:rPr>
      <w:sz w:val="22"/>
      <w:szCs w:val="22"/>
    </w:rPr>
  </w:style>
  <w:style w:type="paragraph" w:customStyle="1" w:styleId="B10">
    <w:name w:val="B1"/>
    <w:basedOn w:val="List"/>
    <w:link w:val="B1"/>
    <w:uiPriority w:val="99"/>
    <w:qFormat/>
    <w:pPr>
      <w:spacing w:after="180"/>
      <w:ind w:left="568" w:firstLineChars="0" w:hanging="284"/>
    </w:pPr>
    <w:rPr>
      <w:sz w:val="20"/>
      <w:szCs w:val="20"/>
      <w:lang w:val="en-GB" w:eastAsia="en-US"/>
    </w:rPr>
  </w:style>
  <w:style w:type="paragraph" w:customStyle="1" w:styleId="-110">
    <w:name w:val="彩色底纹 - 强调文字颜色 11"/>
    <w:uiPriority w:val="71"/>
    <w:rPr>
      <w:sz w:val="22"/>
      <w:szCs w:val="22"/>
    </w:rPr>
  </w:style>
  <w:style w:type="paragraph" w:customStyle="1" w:styleId="a">
    <w:name w:val="表格文字居左"/>
    <w:basedOn w:val="Normal"/>
    <w:next w:val="Normal"/>
    <w:pPr>
      <w:widowControl w:val="0"/>
      <w:jc w:val="both"/>
    </w:pPr>
    <w:rPr>
      <w:rFonts w:ascii="Arial" w:hAnsi="Arial" w:cs="宋体"/>
      <w:kern w:val="2"/>
      <w:sz w:val="21"/>
      <w:szCs w:val="20"/>
    </w:rPr>
  </w:style>
  <w:style w:type="paragraph" w:customStyle="1" w:styleId="ListParagraph1">
    <w:name w:val="List Paragraph1"/>
    <w:basedOn w:val="Normal"/>
    <w:uiPriority w:val="34"/>
    <w:qFormat/>
    <w:pPr>
      <w:widowControl w:val="0"/>
      <w:ind w:firstLineChars="200" w:firstLine="420"/>
      <w:jc w:val="both"/>
    </w:pPr>
    <w:rPr>
      <w:kern w:val="2"/>
      <w:sz w:val="21"/>
    </w:rPr>
  </w:style>
  <w:style w:type="paragraph" w:customStyle="1" w:styleId="text">
    <w:name w:val="text"/>
    <w:basedOn w:val="Normal"/>
    <w:link w:val="textChar"/>
    <w:qFormat/>
    <w:pPr>
      <w:widowControl w:val="0"/>
      <w:spacing w:after="240"/>
      <w:jc w:val="both"/>
    </w:pPr>
    <w:rPr>
      <w:rFonts w:ascii="Calibri" w:hAnsi="Calibri"/>
      <w:kern w:val="2"/>
      <w:sz w:val="24"/>
      <w:szCs w:val="20"/>
    </w:rPr>
  </w:style>
  <w:style w:type="paragraph" w:customStyle="1" w:styleId="TAL">
    <w:name w:val="TAL"/>
    <w:basedOn w:val="Normal"/>
    <w:link w:val="TALChar"/>
    <w:qFormat/>
    <w:pPr>
      <w:keepNext/>
      <w:keepLines/>
    </w:pPr>
    <w:rPr>
      <w:rFonts w:ascii="Arial" w:hAnsi="Arial"/>
      <w:sz w:val="18"/>
      <w:szCs w:val="20"/>
      <w:lang w:val="en-GB" w:eastAsia="en-US"/>
    </w:rPr>
  </w:style>
  <w:style w:type="paragraph" w:customStyle="1" w:styleId="MediumList2-Accent21">
    <w:name w:val="Medium List 2 - Accent 21"/>
    <w:uiPriority w:val="71"/>
    <w:rPr>
      <w:sz w:val="22"/>
      <w:szCs w:val="22"/>
    </w:rPr>
  </w:style>
  <w:style w:type="paragraph" w:customStyle="1" w:styleId="bullet4">
    <w:name w:val="bullet4"/>
    <w:basedOn w:val="text"/>
    <w:qFormat/>
    <w:pPr>
      <w:widowControl/>
      <w:numPr>
        <w:ilvl w:val="3"/>
        <w:numId w:val="2"/>
      </w:numPr>
      <w:tabs>
        <w:tab w:val="left" w:pos="360"/>
        <w:tab w:val="left" w:pos="864"/>
      </w:tabs>
      <w:spacing w:after="0"/>
      <w:ind w:left="0" w:firstLine="0"/>
      <w:jc w:val="left"/>
    </w:pPr>
    <w:rPr>
      <w:rFonts w:ascii="Times" w:eastAsia="Batang" w:hAnsi="Times"/>
      <w:kern w:val="0"/>
      <w:sz w:val="20"/>
      <w:szCs w:val="24"/>
      <w:lang w:val="en-GB" w:eastAsia="en-US"/>
    </w:rPr>
  </w:style>
  <w:style w:type="paragraph" w:customStyle="1" w:styleId="CRCoverPage">
    <w:name w:val="CR Cover Page"/>
    <w:pPr>
      <w:spacing w:after="120"/>
    </w:pPr>
    <w:rPr>
      <w:rFonts w:ascii="Arial" w:eastAsia="MS Mincho" w:hAnsi="Arial"/>
      <w:lang w:val="en-GB" w:eastAsia="en-US"/>
    </w:rPr>
  </w:style>
  <w:style w:type="paragraph" w:customStyle="1" w:styleId="MediumGrid1-Accent21">
    <w:name w:val="Medium Grid 1 - Accent 21"/>
    <w:basedOn w:val="Normal"/>
    <w:link w:val="MediumGrid1-Accent2Char"/>
    <w:uiPriority w:val="34"/>
    <w:qFormat/>
    <w:pPr>
      <w:ind w:firstLineChars="200" w:firstLine="420"/>
    </w:pPr>
  </w:style>
  <w:style w:type="paragraph" w:customStyle="1" w:styleId="reader-word-layer">
    <w:name w:val="reader-word-layer"/>
    <w:basedOn w:val="Normal"/>
    <w:pPr>
      <w:spacing w:before="100" w:beforeAutospacing="1" w:after="100" w:afterAutospacing="1"/>
    </w:pPr>
    <w:rPr>
      <w:rFonts w:ascii="宋体" w:hAnsi="宋体" w:cs="宋体"/>
      <w:sz w:val="24"/>
      <w:szCs w:val="24"/>
    </w:rPr>
  </w:style>
  <w:style w:type="paragraph" w:customStyle="1" w:styleId="TAH">
    <w:name w:val="TAH"/>
    <w:basedOn w:val="TAC"/>
    <w:rPr>
      <w:b/>
    </w:rPr>
  </w:style>
  <w:style w:type="paragraph" w:customStyle="1" w:styleId="bullet2">
    <w:name w:val="bullet2"/>
    <w:basedOn w:val="text"/>
    <w:link w:val="bullet2Char"/>
    <w:qFormat/>
    <w:pPr>
      <w:widowControl/>
      <w:numPr>
        <w:ilvl w:val="1"/>
        <w:numId w:val="2"/>
      </w:numPr>
      <w:spacing w:after="0"/>
      <w:jc w:val="left"/>
    </w:pPr>
    <w:rPr>
      <w:rFonts w:ascii="Times" w:hAnsi="Times"/>
      <w:szCs w:val="24"/>
      <w:lang w:val="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eastAsia="en-US"/>
    </w:rPr>
  </w:style>
  <w:style w:type="paragraph" w:styleId="ListParagraph">
    <w:name w:val="List Paragraph"/>
    <w:basedOn w:val="Normal"/>
    <w:link w:val="ListParagraphChar"/>
    <w:uiPriority w:val="99"/>
    <w:qFormat/>
    <w:pPr>
      <w:spacing w:after="180"/>
      <w:ind w:left="800"/>
    </w:pPr>
    <w:rPr>
      <w:rFonts w:eastAsia="Malgun Gothic"/>
      <w:sz w:val="20"/>
      <w:szCs w:val="20"/>
      <w:lang w:val="en-GB"/>
    </w:rPr>
  </w:style>
  <w:style w:type="paragraph" w:customStyle="1" w:styleId="tal0">
    <w:name w:val="tal"/>
    <w:basedOn w:val="Normal"/>
    <w:qFormat/>
    <w:pPr>
      <w:keepNext/>
    </w:pPr>
    <w:rPr>
      <w:rFonts w:ascii="Arial" w:eastAsia="Gulim" w:hAnsi="Arial" w:cs="Arial"/>
      <w:sz w:val="18"/>
      <w:szCs w:val="18"/>
      <w:lang w:eastAsia="ko-KR"/>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ColorfulShading-Accent3">
    <w:name w:val="Colorful Shading Accent 3"/>
    <w:basedOn w:val="TableNormal"/>
    <w:uiPriority w:val="34"/>
    <w:qFormat/>
    <w:rPr>
      <w:kern w:val="2"/>
      <w:sz w:val="21"/>
      <w:szCs w:val="24"/>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Pr/>
      <w:tcPr>
        <w:tcBorders>
          <w:top w:val="nil"/>
          <w:left w:val="nil"/>
          <w:bottom w:val="single" w:sz="24" w:space="0" w:color="8064A2"/>
          <w:right w:val="nil"/>
          <w:insideH w:val="nil"/>
          <w:insideV w:val="nil"/>
          <w:tl2br w:val="nil"/>
          <w:tr2bl w:val="nil"/>
        </w:tcBorders>
        <w:shd w:val="clear" w:color="auto" w:fill="FFFFFF"/>
      </w:tc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Pr/>
      <w:tcPr>
        <w:tcBorders>
          <w:top w:val="nil"/>
          <w:left w:val="nil"/>
          <w:bottom w:val="nil"/>
          <w:right w:val="nil"/>
          <w:insideH w:val="single" w:sz="4" w:space="0" w:color="5E7530"/>
          <w:insideV w:val="nil"/>
          <w:tl2br w:val="nil"/>
          <w:tr2bl w:val="nil"/>
        </w:tcBorders>
        <w:shd w:val="clear" w:color="auto" w:fill="5E7530"/>
      </w:tcPr>
    </w:tblStylePr>
    <w:tblStylePr w:type="lastCol">
      <w:rPr>
        <w:b/>
        <w:bCs/>
      </w:rPr>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FA7A6"/>
      </w:tcPr>
    </w:tblStylePr>
    <w:tblStylePr w:type="band1Horz">
      <w:tblPr/>
      <w:tcPr>
        <w:shd w:val="clear" w:color="auto" w:fill="DFA7A6"/>
      </w:tcPr>
    </w:tblStylePr>
  </w:style>
  <w:style w:type="table" w:customStyle="1" w:styleId="1">
    <w:name w:val="网格型1"/>
    <w:basedOn w:val="TableNormal"/>
    <w:uiPriority w:val="59"/>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3820</Words>
  <Characters>21776</Characters>
  <Application>Microsoft Office Word</Application>
  <DocSecurity>0</DocSecurity>
  <PresentationFormat/>
  <Lines>181</Lines>
  <Paragraphs>51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TSG-RAN WG1 #78bis</vt:lpstr>
    </vt:vector>
  </TitlesOfParts>
  <Manager/>
  <Company>www.zte.com.cn</Company>
  <LinksUpToDate>false</LinksUpToDate>
  <CharactersWithSpaces>25545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#78bis</dc:title>
  <dc:subject/>
  <dc:creator>ZTE</dc:creator>
  <cp:keywords/>
  <dc:description/>
  <cp:lastModifiedBy>ZTE</cp:lastModifiedBy>
  <cp:revision>2</cp:revision>
  <dcterms:created xsi:type="dcterms:W3CDTF">2020-08-07T15:27:00Z</dcterms:created>
  <dcterms:modified xsi:type="dcterms:W3CDTF">2020-08-07T15:27:00Z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